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</w:t>
      </w:r>
      <w:r>
        <w:rPr/>
        <w:t>ПОДАЦИ О ПРИХОДИМА И РАСХОДИМА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ind w:firstLine="708"/>
        <w:jc w:val="both"/>
        <w:rPr/>
      </w:pPr>
      <w:r>
        <w:rPr/>
        <w:t>Табела о приходима и расходима Основног јавног тужилаштва у Куршумлији за 2023. годину од 01/01-3</w:t>
      </w:r>
      <w:r>
        <w:rPr>
          <w:rFonts w:eastAsia="Times New Roman" w:cs="Times New Roman"/>
          <w:sz w:val="24"/>
          <w:szCs w:val="24"/>
          <w:lang w:val="en-GB" w:eastAsia="zh-CN"/>
        </w:rPr>
        <w:t>1/12</w:t>
      </w:r>
      <w:r>
        <w:rPr/>
        <w:t>/2023. године од извора финансирања Високи савет тужилаштва  Београд и Министарства правде РС: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</w:r>
    </w:p>
    <w:tbl>
      <w:tblPr>
        <w:tblW w:w="757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8"/>
        <w:gridCol w:w="734"/>
        <w:gridCol w:w="959"/>
        <w:gridCol w:w="755"/>
        <w:gridCol w:w="860"/>
        <w:gridCol w:w="2214"/>
        <w:gridCol w:w="1334"/>
      </w:tblGrid>
      <w:tr>
        <w:trPr>
          <w:trHeight w:val="675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Функ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Извор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Програм</w:t>
            </w:r>
          </w:p>
        </w:tc>
        <w:tc>
          <w:tcPr>
            <w:tcW w:w="7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Проје.</w:t>
            </w:r>
          </w:p>
        </w:tc>
        <w:tc>
          <w:tcPr>
            <w:tcW w:w="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Ек.клас</w:t>
            </w:r>
          </w:p>
        </w:tc>
        <w:tc>
          <w:tcPr>
            <w:tcW w:w="22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Опис конта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 xml:space="preserve">Реализација до </w:t>
            </w:r>
            <w:r>
              <w:rPr>
                <w:rFonts w:eastAsia="Times New Roman" w:cs="Times New Roman"/>
                <w:sz w:val="16"/>
                <w:szCs w:val="16"/>
                <w:lang w:val="en-GB" w:eastAsia="zh-CN"/>
              </w:rPr>
              <w:t>31/12</w:t>
            </w:r>
            <w:r>
              <w:rPr>
                <w:sz w:val="16"/>
                <w:szCs w:val="16"/>
              </w:rPr>
              <w:t>/2023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0013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Плате и додаци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val="en-GB" w:eastAsia="zh-CN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en-GB" w:eastAsia="zh-CN"/>
              </w:rPr>
              <w:t>3.512.708,00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0013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Соц.доп.на терет посл.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en-GB" w:eastAsia="zh-CN"/>
              </w:rPr>
              <w:t>532.175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,00 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413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Накнаде у натури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>0</w:t>
            </w:r>
            <w:r>
              <w:rPr>
                <w:rFonts w:cs="Arial" w:ascii="Arial" w:hAnsi="Arial"/>
                <w:sz w:val="16"/>
                <w:szCs w:val="16"/>
              </w:rPr>
              <w:t>.00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414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Соц. Давања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0.00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0013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Накн.тр.запосл.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en-GB" w:eastAsia="zh-CN"/>
              </w:rPr>
              <w:t>37.840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,00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416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Нагр.запосл.и ост.рас.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lang w:val="en-GB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en-GB" w:eastAsia="zh-CN"/>
              </w:rPr>
              <w:t>0</w:t>
            </w:r>
            <w:r>
              <w:rPr>
                <w:rFonts w:cs="Arial" w:ascii="Arial" w:hAnsi="Arial"/>
                <w:sz w:val="16"/>
                <w:szCs w:val="16"/>
                <w:lang w:val="en-GB"/>
              </w:rPr>
              <w:t>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421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Стални трошкови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Arial" w:ascii="Arial" w:hAnsi="Arial"/>
                <w:sz w:val="16"/>
                <w:szCs w:val="16"/>
                <w:lang w:val="en-GB" w:eastAsia="zh-CN"/>
              </w:rPr>
              <w:t>374.651</w:t>
            </w:r>
            <w:r>
              <w:rPr>
                <w:rFonts w:cs="Arial" w:ascii="Arial" w:hAnsi="Arial"/>
                <w:sz w:val="16"/>
                <w:szCs w:val="16"/>
              </w:rPr>
              <w:t>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422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Трошкови путовања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Arial" w:ascii="Arial" w:hAnsi="Arial"/>
                <w:sz w:val="16"/>
                <w:szCs w:val="16"/>
                <w:lang w:val="en-GB" w:eastAsia="zh-CN"/>
              </w:rPr>
              <w:t>10.000</w:t>
            </w:r>
            <w:r>
              <w:rPr>
                <w:rFonts w:cs="Arial" w:ascii="Arial" w:hAnsi="Arial"/>
                <w:sz w:val="16"/>
                <w:szCs w:val="16"/>
              </w:rPr>
              <w:t>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423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Услуге по уговору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2.</w:t>
            </w:r>
            <w:r>
              <w:rPr>
                <w:rFonts w:eastAsia="Times New Roman" w:cs="Arial" w:ascii="Arial" w:hAnsi="Arial"/>
                <w:sz w:val="16"/>
                <w:szCs w:val="16"/>
                <w:lang w:val="en-GB" w:eastAsia="zh-CN"/>
              </w:rPr>
              <w:t>399.417</w:t>
            </w:r>
            <w:r>
              <w:rPr>
                <w:rFonts w:cs="Arial" w:ascii="Arial" w:hAnsi="Arial"/>
                <w:sz w:val="16"/>
                <w:szCs w:val="16"/>
              </w:rPr>
              <w:t>,00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425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Arial" w:ascii="Arial" w:hAnsi="Arial"/>
                <w:sz w:val="16"/>
                <w:szCs w:val="16"/>
                <w:lang w:val="en-GB" w:eastAsia="zh-CN"/>
              </w:rPr>
              <w:t>305.462</w:t>
            </w:r>
            <w:r>
              <w:rPr>
                <w:rFonts w:cs="Arial" w:ascii="Arial" w:hAnsi="Arial"/>
                <w:sz w:val="16"/>
                <w:szCs w:val="16"/>
              </w:rPr>
              <w:t>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426</w:t>
            </w:r>
          </w:p>
        </w:tc>
        <w:tc>
          <w:tcPr>
            <w:tcW w:w="221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Материјал</w:t>
            </w:r>
          </w:p>
        </w:tc>
        <w:tc>
          <w:tcPr>
            <w:tcW w:w="133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Arial" w:ascii="Arial" w:hAnsi="Arial"/>
                <w:sz w:val="16"/>
                <w:szCs w:val="16"/>
                <w:lang w:val="en-GB" w:eastAsia="zh-CN"/>
              </w:rPr>
              <w:t>222.564</w:t>
            </w:r>
            <w:r>
              <w:rPr>
                <w:rFonts w:cs="Arial" w:ascii="Arial" w:hAnsi="Arial"/>
                <w:sz w:val="16"/>
                <w:szCs w:val="16"/>
              </w:rPr>
              <w:t>,00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482</w:t>
            </w: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Порези, обавезе, таксе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21.002,00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483</w:t>
            </w:r>
          </w:p>
        </w:tc>
        <w:tc>
          <w:tcPr>
            <w:tcW w:w="2214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Новчане казне и пенали по решењу</w:t>
            </w:r>
          </w:p>
        </w:tc>
        <w:tc>
          <w:tcPr>
            <w:tcW w:w="13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Arial" w:ascii="Arial" w:hAnsi="Arial"/>
                <w:sz w:val="16"/>
                <w:szCs w:val="16"/>
                <w:lang w:val="en-GB" w:eastAsia="zh-CN"/>
              </w:rPr>
              <w:t>740.505,</w:t>
            </w:r>
            <w:r>
              <w:rPr>
                <w:rFonts w:cs="Arial" w:ascii="Arial" w:hAnsi="Arial"/>
                <w:sz w:val="16"/>
                <w:szCs w:val="16"/>
              </w:rPr>
              <w:t>00</w:t>
            </w:r>
          </w:p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0014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Плате и додаци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r-RS" w:eastAsia="zh-CN"/>
              </w:rPr>
              <w:t>7.744.659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,00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0014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Соц.доп.на терет посл.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val="sr-RS" w:eastAsia="zh-CN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r-RS" w:eastAsia="zh-CN"/>
              </w:rPr>
              <w:t>1.173.315,00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0014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Накн.тр.запосл.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r-RS" w:eastAsia="zh-CN"/>
              </w:rPr>
              <w:t>567.668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0</w:t>
            </w:r>
            <w:r>
              <w:rPr>
                <w:rFonts w:cs="Arial" w:ascii="Arial" w:hAnsi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0014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414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Соц.давања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0</w:t>
            </w:r>
            <w:r>
              <w:rPr>
                <w:rFonts w:cs="Arial" w:ascii="Arial" w:hAnsi="Arial"/>
                <w:b/>
                <w:sz w:val="16"/>
                <w:szCs w:val="16"/>
                <w:lang w:val="en-GB"/>
              </w:rPr>
              <w:t>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0</w:t>
            </w:r>
            <w:r>
              <w:rPr>
                <w:rFonts w:cs="Arial" w:ascii="Arial" w:hAnsi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0014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413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Соц.давања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Arial" w:ascii="Arial" w:hAnsi="Arial"/>
                <w:sz w:val="16"/>
                <w:szCs w:val="16"/>
                <w:lang w:val="sr-RS" w:eastAsia="zh-CN"/>
              </w:rPr>
              <w:t>15.000</w:t>
            </w:r>
            <w:r>
              <w:rPr>
                <w:rFonts w:cs="Arial" w:ascii="Arial" w:hAnsi="Arial"/>
                <w:sz w:val="16"/>
                <w:szCs w:val="16"/>
              </w:rPr>
              <w:t>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04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0014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41</w:t>
            </w:r>
            <w:r>
              <w:rPr>
                <w:rFonts w:cs="Arial" w:ascii="Arial" w:hAnsi="Arial"/>
                <w:b/>
                <w:sz w:val="16"/>
                <w:szCs w:val="16"/>
                <w:lang w:val="en-GB"/>
              </w:rPr>
              <w:t>4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Накн.тр.запосл.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89.444</w:t>
            </w:r>
            <w:r>
              <w:rPr>
                <w:rFonts w:cs="Arial" w:ascii="Arial" w:hAnsi="Arial"/>
                <w:b/>
                <w:sz w:val="16"/>
                <w:szCs w:val="16"/>
                <w:lang w:val="en-GB"/>
              </w:rPr>
              <w:t>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13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0014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415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Накн.тр.запосл.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0</w:t>
            </w:r>
            <w:r>
              <w:rPr>
                <w:rFonts w:cs="Arial" w:ascii="Arial" w:hAnsi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0014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416</w:t>
            </w:r>
          </w:p>
        </w:tc>
        <w:tc>
          <w:tcPr>
            <w:tcW w:w="2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Јубилрне награде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0</w:t>
            </w:r>
            <w:r>
              <w:rPr>
                <w:rFonts w:cs="Arial" w:ascii="Arial" w:hAnsi="Arial"/>
                <w:b/>
                <w:sz w:val="16"/>
                <w:szCs w:val="16"/>
                <w:lang w:val="en-GB"/>
              </w:rPr>
              <w:t>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13</w:t>
            </w:r>
          </w:p>
        </w:tc>
        <w:tc>
          <w:tcPr>
            <w:tcW w:w="959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0014</w:t>
            </w:r>
          </w:p>
        </w:tc>
        <w:tc>
          <w:tcPr>
            <w:tcW w:w="8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41</w:t>
            </w:r>
            <w:r>
              <w:rPr>
                <w:rFonts w:cs="Arial" w:ascii="Arial" w:hAnsi="Arial"/>
                <w:b/>
                <w:sz w:val="16"/>
                <w:szCs w:val="16"/>
                <w:lang w:val="en-GB"/>
              </w:rPr>
              <w:t>4</w:t>
            </w:r>
          </w:p>
        </w:tc>
        <w:tc>
          <w:tcPr>
            <w:tcW w:w="221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Соц.давања</w:t>
            </w:r>
          </w:p>
        </w:tc>
        <w:tc>
          <w:tcPr>
            <w:tcW w:w="133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val="sr-RS" w:eastAsia="zh-CN"/>
              </w:rPr>
              <w:t>536.668</w:t>
            </w:r>
            <w:r>
              <w:rPr>
                <w:rFonts w:cs="Arial" w:ascii="Arial" w:hAnsi="Arial"/>
                <w:b/>
                <w:sz w:val="16"/>
                <w:szCs w:val="16"/>
              </w:rPr>
              <w:t>,00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</w:t>
            </w:r>
            <w:r>
              <w:rPr>
                <w:rFonts w:eastAsia="Times New Roman" w:cs="Arial" w:ascii="Arial" w:hAnsi="Arial"/>
                <w:sz w:val="16"/>
                <w:szCs w:val="16"/>
                <w:lang w:val="en-GB" w:eastAsia="zh-CN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41</w:t>
            </w:r>
            <w:r>
              <w:rPr>
                <w:rFonts w:eastAsia="Times New Roman" w:cs="Arial" w:ascii="Arial" w:hAnsi="Arial"/>
                <w:sz w:val="16"/>
                <w:szCs w:val="16"/>
                <w:lang w:val="en-GB" w:eastAsia="zh-CN"/>
              </w:rPr>
              <w:t>85</w:t>
            </w: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6"/>
                <w:szCs w:val="16"/>
                <w:lang w:val="sr-RS" w:eastAsia="zh-CN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sr-RS" w:eastAsia="zh-CN"/>
              </w:rPr>
              <w:t xml:space="preserve">Накада штете 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Arial" w:ascii="Arial" w:hAnsi="Arial"/>
                <w:sz w:val="16"/>
                <w:szCs w:val="16"/>
                <w:lang w:val="en-GB" w:eastAsia="zh-CN"/>
              </w:rPr>
              <w:t>370.000</w:t>
            </w:r>
            <w:r>
              <w:rPr>
                <w:rFonts w:cs="Arial" w:ascii="Arial" w:hAnsi="Arial"/>
                <w:sz w:val="16"/>
                <w:szCs w:val="16"/>
              </w:rPr>
              <w:t>,00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>330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>01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>1604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>0014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>512</w:t>
            </w:r>
          </w:p>
        </w:tc>
        <w:tc>
          <w:tcPr>
            <w:tcW w:w="221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   </w:t>
            </w:r>
            <w:r>
              <w:rPr>
                <w:rFonts w:cs="Arial" w:ascii="Arial" w:hAnsi="Arial"/>
                <w:sz w:val="16"/>
                <w:szCs w:val="16"/>
              </w:rPr>
              <w:t>Машине и опрема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89.994,00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/>
        <w:t>ПОДАЦИ О ИСПЛАЋЕНИМ ПЛАТАМА, ЗАРАДАМА И ДРУГИМ ПРИМАЊИМА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Подаци о исплаћеним платама, зарадама и другим примањима у складу са Законом о буџету Републике Србије 2023 (Сл.Гласник РС, бр.99/2016)</w:t>
      </w:r>
    </w:p>
    <w:p>
      <w:pPr>
        <w:pStyle w:val="Normal"/>
        <w:jc w:val="both"/>
        <w:rPr/>
      </w:pPr>
      <w:r>
        <w:rPr/>
        <w:tab/>
        <w:t xml:space="preserve">Подаци о платама изабраних лица за месец </w:t>
      </w:r>
      <w:r>
        <w:rPr>
          <w:rFonts w:eastAsia="Times New Roman" w:cs="Times New Roman"/>
          <w:sz w:val="24"/>
          <w:szCs w:val="24"/>
          <w:lang w:val="en-GB" w:eastAsia="zh-CN"/>
        </w:rPr>
        <w:t>12</w:t>
      </w:r>
      <w:r>
        <w:rPr/>
        <w:t>/2023 године: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-1270</wp:posOffset>
                </wp:positionV>
                <wp:extent cx="2843530" cy="105918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105918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480" w:type="dxa"/>
                              <w:jc w:val="left"/>
                              <w:tblInd w:w="109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2447"/>
                              <w:gridCol w:w="2032"/>
                            </w:tblGrid>
                            <w:tr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24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Функција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Нето плата без минулог рада у (динарима)/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БРУТО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447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Главни јавни тужилац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152.397,30/217.400,11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244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Јавни тужиоци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138.543,15/197.636,46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23.9pt;height:83.4pt;mso-wrap-distance-left:9.05pt;mso-wrap-distance-right:9.05pt;mso-wrap-distance-top:0pt;mso-wrap-distance-bottom:0pt;margin-top:-0.1pt;mso-position-vertical-relative:text;margin-left:114.85pt;mso-position-horizontal:center;mso-position-horizontal-relative:margin">
                <v:fill opacity="0f"/>
                <v:textbox inset="0.000694444444444444in,0.000694444444444444in,0.000694444444444444in,0.000694444444444444in">
                  <w:txbxContent>
                    <w:tbl>
                      <w:tblPr>
                        <w:tblW w:w="4480" w:type="dxa"/>
                        <w:jc w:val="left"/>
                        <w:tblInd w:w="109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2447"/>
                        <w:gridCol w:w="2032"/>
                      </w:tblGrid>
                      <w:tr>
                        <w:trPr>
                          <w:trHeight w:val="675" w:hRule="atLeast"/>
                        </w:trPr>
                        <w:tc>
                          <w:tcPr>
                            <w:tcW w:w="24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FrameContents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Функција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FrameContents"/>
                              <w:widowControl w:val="false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Нето плата без минулог рада у (динарима)/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БРУТО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2447" w:type="dxa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Главни јавни тужилац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152.397,30/217.400,11</w:t>
                            </w:r>
                          </w:p>
                        </w:tc>
                      </w:tr>
                      <w:tr>
                        <w:trPr>
                          <w:trHeight w:val="465" w:hRule="atLeast"/>
                        </w:trPr>
                        <w:tc>
                          <w:tcPr>
                            <w:tcW w:w="244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Јавни тужиоци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138.543,15/197.636,46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right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right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right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right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right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right"/>
        <w:rPr/>
      </w:pPr>
      <w:r>
        <w:rPr>
          <w:i/>
          <w:u w:val="single"/>
        </w:rPr>
        <w:t xml:space="preserve">Информатор о раду </w:t>
      </w:r>
    </w:p>
    <w:p>
      <w:pPr>
        <w:pStyle w:val="Normal"/>
        <w:jc w:val="right"/>
        <w:rPr/>
      </w:pPr>
      <w:r>
        <w:rPr>
          <w:i/>
          <w:u w:val="single"/>
        </w:rPr>
        <w:t>Основног јавног тужилаштва у Куршумлији</w:t>
      </w:r>
    </w:p>
    <w:p>
      <w:pPr>
        <w:pStyle w:val="Normal"/>
        <w:jc w:val="right"/>
        <w:rPr/>
      </w:pPr>
      <w:r>
        <w:rPr>
          <w:i/>
        </w:rPr>
        <w:t>Датум последњег ажурирања:</w:t>
      </w:r>
      <w:r>
        <w:rPr>
          <w:rFonts w:eastAsia="Times New Roman" w:cs="Times New Roman"/>
          <w:i/>
          <w:sz w:val="24"/>
          <w:szCs w:val="24"/>
          <w:lang w:val="en-GB" w:eastAsia="zh-CN"/>
        </w:rPr>
        <w:t>23/01/2024</w:t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  <w:tab/>
        <w:t xml:space="preserve">Подаци о платама државних службеника и намештеника за месец </w:t>
      </w:r>
      <w:r>
        <w:rPr>
          <w:rFonts w:eastAsia="Times New Roman" w:cs="Times New Roman"/>
          <w:sz w:val="24"/>
          <w:szCs w:val="24"/>
          <w:lang w:val="en-GB" w:eastAsia="zh-CN"/>
        </w:rPr>
        <w:t>12</w:t>
      </w:r>
      <w:r>
        <w:rPr/>
        <w:t>/2023. год. Према звањима прописаним Законом о државним службеницима.</w:t>
      </w:r>
    </w:p>
    <w:p>
      <w:pPr>
        <w:pStyle w:val="Normal"/>
        <w:jc w:val="both"/>
        <w:rPr/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942975</wp:posOffset>
                </wp:positionH>
                <wp:positionV relativeFrom="paragraph">
                  <wp:posOffset>152400</wp:posOffset>
                </wp:positionV>
                <wp:extent cx="4443730" cy="1576705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3730" cy="157670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7000" w:type="dxa"/>
                              <w:jc w:val="left"/>
                              <w:tblInd w:w="109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2219"/>
                              <w:gridCol w:w="2261"/>
                              <w:gridCol w:w="2520"/>
                            </w:tblGrid>
                            <w:tr>
                              <w:trPr>
                                <w:trHeight w:val="765" w:hRule="atLeast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Звање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Најнижа нето плата без минулог рада (у динарима)/БРУТО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Највиша нето плата без минулог рада (у динарима)/БРУТО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2219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Самостални саветник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129.570,70/184.836,94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129.570,70/184.836,94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219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Саветник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89.680,39/127.931,96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89.680,39/127.931,96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219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Сарадник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77.742,42/110.902,42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77.742,42/110.902,42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219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Референт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63.475,08/90.549,33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63.475,08/90.549,33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22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Намештеник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минималац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49.790,08/71.027,16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349.9pt;height:124.15pt;mso-wrap-distance-left:9.05pt;mso-wrap-distance-right:9.05pt;mso-wrap-distance-top:0pt;mso-wrap-distance-bottom:0pt;margin-top:12pt;mso-position-vertical-relative:text;margin-left:74.25pt;mso-position-horizontal-relative:text">
                <v:fill opacity="0f"/>
                <v:textbox inset="0.000694444444444444in,0.000694444444444444in,0.000694444444444444in,0.000694444444444444in">
                  <w:txbxContent>
                    <w:tbl>
                      <w:tblPr>
                        <w:tblW w:w="7000" w:type="dxa"/>
                        <w:jc w:val="left"/>
                        <w:tblInd w:w="109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2219"/>
                        <w:gridCol w:w="2261"/>
                        <w:gridCol w:w="2520"/>
                      </w:tblGrid>
                      <w:tr>
                        <w:trPr>
                          <w:trHeight w:val="765" w:hRule="atLeast"/>
                        </w:trPr>
                        <w:tc>
                          <w:tcPr>
                            <w:tcW w:w="22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FrameContents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Звање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FrameContents"/>
                              <w:widowControl w:val="false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Најнижа нето плата без минулог рада (у динарима)/БРУТО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FrameContents"/>
                              <w:widowControl w:val="false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Највиша нето плата без минулог рада (у динарима)/БРУТО</w:t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2219" w:type="dxa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Самостални саветник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129.570,70/184.836,94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129.570,70/184.836,94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219" w:type="dxa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Саветник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89.680,39/127.931,96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89.680,39/127.931,96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2219" w:type="dxa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Сарадник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77.742,42/110.902,42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77.742,42/110.902,42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219" w:type="dxa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Референт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63.475,08/90.549,33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63.475,08/90.549,33</w:t>
                            </w:r>
                          </w:p>
                        </w:tc>
                      </w:tr>
                      <w:tr>
                        <w:trPr>
                          <w:trHeight w:val="465" w:hRule="atLeast"/>
                        </w:trPr>
                        <w:tc>
                          <w:tcPr>
                            <w:tcW w:w="221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Намештеник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bottom w:val="single" w:sz="8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минималац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49.790,08/71.027,16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  <w:tab/>
        <w:tab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Наведени износи плата увећавају се за додатак по основу времена проведеног на раду (минули рад) у износу од 0,4% за сваку навршену годину рада у радном односу код послодавца. Висина зараде запослених који имају исто звање разликује се с обзиром да у оквиру сваког звања постоји осам платних разреда, сходно Законом о платама државних службеника и намештеника.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ПОДАЦИ О ЈАВНИМ НАБАВКАМА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 xml:space="preserve">За набавку опреме у 2023-гој години одобрена су средства у износу од лица 100.000,00 динара. Спроведена је јавна набавка у јуну 2023.године у вредности од 89.994,00 динара и то набављених 14 комада столица и фотељица за потребе обављања послова.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ПОДАЦИ О СРЕДСТВИМА РАДА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Подаци за 2023.годину према Попису имовине и обавеза са стањем на дан </w:t>
      </w:r>
      <w:r>
        <w:rPr>
          <w:rFonts w:eastAsia="Times New Roman" w:cs="Times New Roman"/>
          <w:sz w:val="24"/>
          <w:szCs w:val="24"/>
          <w:lang w:val="en-GB" w:eastAsia="zh-CN"/>
        </w:rPr>
        <w:t>31/12</w:t>
      </w:r>
      <w:r>
        <w:rPr/>
        <w:t>/2023. године:</w:t>
      </w:r>
    </w:p>
    <w:p>
      <w:pPr>
        <w:pStyle w:val="Normal"/>
        <w:jc w:val="both"/>
        <w:rPr/>
      </w:pPr>
      <w:r>
        <w:rPr/>
      </w:r>
    </w:p>
    <w:tbl>
      <w:tblPr>
        <w:tblW w:w="8081" w:type="dxa"/>
        <w:jc w:val="left"/>
        <w:tblInd w:w="10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19"/>
        <w:gridCol w:w="2261"/>
        <w:gridCol w:w="2519"/>
        <w:gridCol w:w="1081"/>
      </w:tblGrid>
      <w:tr>
        <w:trPr>
          <w:trHeight w:val="465" w:hRule="atLeast"/>
        </w:trPr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Назив</w:t>
            </w:r>
          </w:p>
        </w:tc>
        <w:tc>
          <w:tcPr>
            <w:tcW w:w="226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набавна вредност</w:t>
            </w:r>
          </w:p>
        </w:tc>
        <w:tc>
          <w:tcPr>
            <w:tcW w:w="251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садашња вредност </w:t>
            </w:r>
          </w:p>
        </w:tc>
        <w:tc>
          <w:tcPr>
            <w:tcW w:w="108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2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Канцеларијска опрема</w:t>
            </w:r>
          </w:p>
        </w:tc>
        <w:tc>
          <w:tcPr>
            <w:tcW w:w="2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219.820,</w:t>
            </w:r>
            <w:r>
              <w:rPr>
                <w:rFonts w:cs="Arial" w:ascii="Arial" w:hAnsi="Arial"/>
                <w:sz w:val="20"/>
                <w:szCs w:val="20"/>
              </w:rPr>
              <w:t>00</w:t>
            </w:r>
          </w:p>
        </w:tc>
        <w:tc>
          <w:tcPr>
            <w:tcW w:w="2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87.779,67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trHeight w:val="270" w:hRule="atLeast"/>
        </w:trPr>
        <w:tc>
          <w:tcPr>
            <w:tcW w:w="2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Рачунарска опрема</w:t>
            </w:r>
          </w:p>
        </w:tc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422.162,00</w:t>
            </w: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275.341,90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trHeight w:val="270" w:hRule="atLeast"/>
        </w:trPr>
        <w:tc>
          <w:tcPr>
            <w:tcW w:w="22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Укупно</w:t>
            </w:r>
          </w:p>
        </w:tc>
        <w:tc>
          <w:tcPr>
            <w:tcW w:w="226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641.982,00</w:t>
            </w:r>
          </w:p>
        </w:tc>
        <w:tc>
          <w:tcPr>
            <w:tcW w:w="251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363.121,57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right"/>
        <w:rPr/>
      </w:pPr>
      <w:r>
        <w:rPr>
          <w:i/>
          <w:u w:val="single"/>
        </w:rPr>
        <w:t xml:space="preserve">Информатор о раду </w:t>
      </w:r>
    </w:p>
    <w:p>
      <w:pPr>
        <w:pStyle w:val="Normal"/>
        <w:jc w:val="right"/>
        <w:rPr/>
      </w:pPr>
      <w:r>
        <w:rPr>
          <w:i/>
          <w:u w:val="single"/>
        </w:rPr>
        <w:t>Основног јавног тужилаштва у Куршумлији</w:t>
      </w:r>
    </w:p>
    <w:p>
      <w:pPr>
        <w:pStyle w:val="Normal"/>
        <w:jc w:val="right"/>
        <w:rPr/>
      </w:pPr>
      <w:r>
        <w:rPr>
          <w:i/>
        </w:rPr>
        <w:t xml:space="preserve">Датум последњег ажурирања: </w:t>
      </w:r>
      <w:r>
        <w:rPr>
          <w:rFonts w:eastAsia="Times New Roman" w:cs="Times New Roman"/>
          <w:i/>
          <w:sz w:val="24"/>
          <w:szCs w:val="24"/>
          <w:lang w:val="en-GB" w:eastAsia="zh-CN"/>
        </w:rPr>
        <w:t>23/01/2024</w:t>
      </w:r>
    </w:p>
    <w:p>
      <w:pPr>
        <w:pStyle w:val="Normal"/>
        <w:jc w:val="right"/>
        <w:rPr>
          <w:i/>
          <w:i/>
          <w:lang w:val="en-GB"/>
        </w:rPr>
      </w:pPr>
      <w:r>
        <w:rPr>
          <w:i/>
          <w:lang w:val="en-GB"/>
        </w:rPr>
      </w:r>
    </w:p>
    <w:p>
      <w:pPr>
        <w:pStyle w:val="Normal"/>
        <w:rPr/>
      </w:pPr>
      <w:r>
        <w:rPr/>
        <w:tab/>
        <w:t>Основно јавно тужилаштво у Прокупљу не поседује непокретну имовину.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jc w:val="right"/>
        <w:rPr/>
      </w:pPr>
      <w:r>
        <w:rPr/>
        <w:tab/>
      </w:r>
      <w:r>
        <w:rPr>
          <w:i/>
          <w:u w:val="single"/>
        </w:rPr>
        <w:t xml:space="preserve">Информатор о раду </w:t>
      </w:r>
    </w:p>
    <w:p>
      <w:pPr>
        <w:pStyle w:val="Normal"/>
        <w:jc w:val="right"/>
        <w:rPr>
          <w:lang w:val="en-GB"/>
        </w:rPr>
      </w:pPr>
      <w:r>
        <w:rPr>
          <w:i/>
          <w:u w:val="single"/>
        </w:rPr>
        <w:t>Основног јавног тужилаштва у Куршумлији</w:t>
      </w:r>
    </w:p>
    <w:p>
      <w:pPr>
        <w:pStyle w:val="Normal"/>
        <w:jc w:val="right"/>
        <w:rPr/>
      </w:pPr>
      <w:r>
        <w:rPr>
          <w:i/>
        </w:rPr>
        <w:t xml:space="preserve">Датум последњег ажурирања: </w:t>
      </w:r>
      <w:r>
        <w:rPr>
          <w:rFonts w:eastAsia="Times New Roman" w:cs="Times New Roman"/>
          <w:i/>
          <w:sz w:val="24"/>
          <w:szCs w:val="24"/>
          <w:lang w:val="en-GB" w:eastAsia="zh-CN"/>
        </w:rPr>
        <w:t>23/01/2024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6e1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LibreOffice/7.2.1.2$Windows_X86_64 LibreOffice_project/87b77fad49947c1441b67c559c339af8f3517e22</Application>
  <AppVersion>15.0000</AppVersion>
  <Pages>3</Pages>
  <Words>521</Words>
  <Characters>3070</Characters>
  <CharactersWithSpaces>3395</CharactersWithSpaces>
  <Paragraphs>239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2023-07-05T09:31:00Z</dcterms:created>
  <dc:creator>TANJA</dc:creator>
  <dc:description/>
  <dc:language>sr-Latn-RS</dc:language>
  <cp:lastModifiedBy/>
  <dcterms:modified xsi:type="dcterms:W3CDTF">2024-01-23T11:05:08Z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