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left"/>
        <w:rPr>
          <w:sz w:val="24"/>
        </w:rPr>
      </w:pPr>
      <w:bookmarkStart w:id="24" w:name="_GoBack"/>
      <w:bookmarkEnd w:id="24"/>
      <w:r>
        <w:rPr>
          <w:sz w:val="24"/>
        </w:rPr>
        <w:drawing>
          <wp:anchor distT="0" distB="0" distL="114300" distR="114300" simplePos="0" relativeHeight="251660288" behindDoc="0" locked="0" layoutInCell="1" allowOverlap="1">
            <wp:simplePos x="0" y="0"/>
            <wp:positionH relativeFrom="column">
              <wp:posOffset>6350</wp:posOffset>
            </wp:positionH>
            <wp:positionV relativeFrom="paragraph">
              <wp:posOffset>15240</wp:posOffset>
            </wp:positionV>
            <wp:extent cx="534670" cy="810895"/>
            <wp:effectExtent l="0" t="0" r="1778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stretch>
                      <a:fillRect/>
                    </a:stretch>
                  </pic:blipFill>
                  <pic:spPr>
                    <a:xfrm>
                      <a:off x="0" y="0"/>
                      <a:ext cx="534670" cy="810895"/>
                    </a:xfrm>
                    <a:prstGeom prst="rect">
                      <a:avLst/>
                    </a:prstGeom>
                  </pic:spPr>
                </pic:pic>
              </a:graphicData>
            </a:graphic>
          </wp:anchor>
        </w:drawing>
      </w:r>
    </w:p>
    <w:p>
      <w:pPr>
        <w:bidi w:val="0"/>
        <w:jc w:val="left"/>
        <w:rPr>
          <w:sz w:val="24"/>
        </w:rPr>
      </w:pPr>
    </w:p>
    <w:p>
      <w:pPr>
        <w:bidi w:val="0"/>
        <w:jc w:val="left"/>
        <w:rPr>
          <w:sz w:val="24"/>
        </w:rPr>
      </w:pPr>
    </w:p>
    <w:p>
      <w:pPr>
        <w:bidi w:val="0"/>
        <w:jc w:val="both"/>
        <w:rPr>
          <w:sz w:val="24"/>
        </w:rPr>
      </w:pPr>
    </w:p>
    <w:p>
      <w:pPr>
        <w:bidi w:val="0"/>
        <w:jc w:val="both"/>
        <w:rPr>
          <w:b/>
          <w:sz w:val="24"/>
        </w:rPr>
      </w:pPr>
    </w:p>
    <w:p>
      <w:pPr>
        <w:bidi w:val="0"/>
        <w:jc w:val="both"/>
        <w:rPr>
          <w:b/>
          <w:sz w:val="24"/>
        </w:rPr>
      </w:pPr>
      <w:r>
        <w:rPr>
          <w:b/>
          <w:sz w:val="24"/>
        </w:rPr>
        <w:t>РЕПУБЛИКА СРБИЈА</w:t>
      </w:r>
    </w:p>
    <w:p>
      <w:pPr>
        <w:bidi w:val="0"/>
        <w:jc w:val="both"/>
        <w:rPr>
          <w:b/>
          <w:sz w:val="24"/>
        </w:rPr>
      </w:pPr>
      <w:r>
        <w:rPr>
          <w:b/>
          <w:sz w:val="24"/>
        </w:rPr>
        <w:t>ОСНОВНО ЈАВНО ТУЖИЛАШТВО</w:t>
      </w:r>
    </w:p>
    <w:p>
      <w:pPr>
        <w:bidi w:val="0"/>
        <w:jc w:val="both"/>
        <w:rPr>
          <w:rFonts w:hint="default"/>
          <w:lang w:val="sr-Cyrl-RS"/>
        </w:rPr>
      </w:pPr>
      <w:r>
        <w:rPr>
          <w:b/>
          <w:sz w:val="24"/>
        </w:rPr>
        <w:t xml:space="preserve">А бр. </w:t>
      </w:r>
      <w:r>
        <w:rPr>
          <w:rFonts w:hint="default"/>
          <w:b/>
          <w:sz w:val="24"/>
          <w:lang w:val="sr-Cyrl-RS"/>
        </w:rPr>
        <w:t>31/23-1</w:t>
      </w:r>
    </w:p>
    <w:p>
      <w:pPr>
        <w:bidi w:val="0"/>
        <w:jc w:val="both"/>
      </w:pPr>
      <w:r>
        <w:rPr>
          <w:rFonts w:hint="default"/>
          <w:b/>
          <w:sz w:val="24"/>
          <w:lang w:val="sr-Cyrl-RS"/>
        </w:rPr>
        <w:t>26</w:t>
      </w:r>
      <w:r>
        <w:rPr>
          <w:b/>
          <w:sz w:val="24"/>
        </w:rPr>
        <w:t>.</w:t>
      </w:r>
      <w:r>
        <w:rPr>
          <w:b/>
          <w:sz w:val="24"/>
          <w:lang w:val="sr-Latn-RS"/>
        </w:rPr>
        <w:t>0</w:t>
      </w:r>
      <w:r>
        <w:rPr>
          <w:rFonts w:hint="default"/>
          <w:b/>
          <w:sz w:val="24"/>
          <w:lang w:val="sr-Cyrl-RS"/>
        </w:rPr>
        <w:t>5</w:t>
      </w:r>
      <w:r>
        <w:rPr>
          <w:b/>
          <w:sz w:val="24"/>
        </w:rPr>
        <w:t>.202</w:t>
      </w:r>
      <w:r>
        <w:rPr>
          <w:rFonts w:hint="default"/>
          <w:b/>
          <w:sz w:val="24"/>
          <w:lang w:val="sr-Cyrl-RS"/>
        </w:rPr>
        <w:t>3</w:t>
      </w:r>
      <w:r>
        <w:rPr>
          <w:b/>
          <w:sz w:val="24"/>
        </w:rPr>
        <w:t>. године</w:t>
      </w:r>
    </w:p>
    <w:p>
      <w:pPr>
        <w:bidi w:val="0"/>
        <w:jc w:val="both"/>
        <w:rPr>
          <w:b/>
          <w:sz w:val="24"/>
        </w:rPr>
      </w:pPr>
      <w:r>
        <w:rPr>
          <w:b/>
          <w:sz w:val="24"/>
        </w:rPr>
        <w:t>Куршумлија</w:t>
      </w:r>
    </w:p>
    <w:p>
      <w:pPr>
        <w:bidi w:val="0"/>
        <w:jc w:val="both"/>
        <w:rPr>
          <w:b/>
          <w:sz w:val="24"/>
        </w:rPr>
      </w:pPr>
      <w:r>
        <w:rPr>
          <w:b/>
          <w:sz w:val="24"/>
          <w:lang w:val="sr-Cyrl-RS"/>
        </w:rPr>
        <w:t>Б</w:t>
      </w:r>
      <w:r>
        <w:rPr>
          <w:b/>
          <w:sz w:val="24"/>
        </w:rPr>
        <w:t>М/</w:t>
      </w:r>
      <w:r>
        <w:rPr>
          <w:rFonts w:eastAsiaTheme="minorEastAsia" w:cstheme="minorBidi"/>
          <w:b/>
          <w:color w:val="000000"/>
          <w:position w:val="0"/>
          <w:sz w:val="24"/>
          <w:u w:val="none"/>
          <w:shd w:val="clear" w:fill="FFFFFF"/>
          <w:vertAlign w:val="baseline"/>
        </w:rPr>
        <w:t>J</w:t>
      </w:r>
      <w:r>
        <w:rPr>
          <w:rFonts w:eastAsiaTheme="minorEastAsia" w:cstheme="minorBidi"/>
          <w:b/>
          <w:color w:val="000000"/>
          <w:position w:val="0"/>
          <w:sz w:val="24"/>
          <w:u w:val="none"/>
          <w:shd w:val="clear" w:fill="FFFFFF"/>
          <w:vertAlign w:val="baseline"/>
          <w:lang w:val="sr-Cyrl-RS"/>
        </w:rPr>
        <w:t>Л</w:t>
      </w:r>
      <w:r>
        <w:rPr>
          <w:rFonts w:eastAsiaTheme="minorEastAsia" w:cstheme="minorBidi"/>
          <w:b/>
          <w:color w:val="000000"/>
          <w:position w:val="0"/>
          <w:sz w:val="24"/>
          <w:u w:val="none"/>
          <w:shd w:val="clear" w:fill="FFFFFF"/>
          <w:vertAlign w:val="baseline"/>
        </w:rPr>
        <w:t>M</w:t>
      </w:r>
    </w:p>
    <w:p>
      <w:pPr>
        <w:bidi w:val="0"/>
        <w:jc w:val="both"/>
        <w:rPr>
          <w:b/>
          <w:sz w:val="24"/>
        </w:rPr>
      </w:pPr>
    </w:p>
    <w:p>
      <w:pPr>
        <w:bidi w:val="0"/>
        <w:jc w:val="both"/>
        <w:rPr>
          <w:b/>
          <w:sz w:val="24"/>
        </w:rPr>
      </w:pPr>
    </w:p>
    <w:p>
      <w:pPr>
        <w:bidi w:val="0"/>
        <w:jc w:val="both"/>
        <w:rPr>
          <w:b/>
          <w:sz w:val="24"/>
        </w:rPr>
      </w:pPr>
    </w:p>
    <w:p>
      <w:pPr>
        <w:bidi w:val="0"/>
        <w:jc w:val="both"/>
        <w:rPr>
          <w:b/>
          <w:sz w:val="24"/>
        </w:rPr>
      </w:pPr>
    </w:p>
    <w:p>
      <w:pPr>
        <w:bidi w:val="0"/>
        <w:jc w:val="both"/>
        <w:rPr>
          <w:b/>
          <w:sz w:val="24"/>
        </w:rPr>
      </w:pPr>
    </w:p>
    <w:p>
      <w:pPr>
        <w:bidi w:val="0"/>
        <w:jc w:val="both"/>
        <w:rPr>
          <w:b/>
          <w:sz w:val="24"/>
        </w:rPr>
      </w:pPr>
    </w:p>
    <w:p>
      <w:pPr>
        <w:bidi w:val="0"/>
        <w:jc w:val="both"/>
        <w:rPr>
          <w:b/>
          <w:sz w:val="24"/>
        </w:rPr>
      </w:pPr>
    </w:p>
    <w:p>
      <w:pPr>
        <w:bidi w:val="0"/>
        <w:jc w:val="both"/>
        <w:rPr>
          <w:b/>
          <w:sz w:val="24"/>
        </w:rPr>
      </w:pPr>
    </w:p>
    <w:p>
      <w:pPr>
        <w:bidi w:val="0"/>
        <w:jc w:val="both"/>
        <w:rPr>
          <w:b/>
          <w:sz w:val="24"/>
        </w:rPr>
      </w:pPr>
    </w:p>
    <w:p>
      <w:pPr>
        <w:bidi w:val="0"/>
        <w:jc w:val="both"/>
        <w:rPr>
          <w:sz w:val="24"/>
        </w:rPr>
      </w:pPr>
    </w:p>
    <w:p>
      <w:pPr>
        <w:bidi w:val="0"/>
        <w:spacing w:line="360" w:lineRule="auto"/>
        <w:jc w:val="center"/>
        <w:rPr>
          <w:b/>
          <w:sz w:val="40"/>
          <w:szCs w:val="40"/>
        </w:rPr>
      </w:pPr>
      <w:r>
        <w:rPr>
          <w:b/>
          <w:sz w:val="40"/>
          <w:szCs w:val="40"/>
        </w:rPr>
        <w:t>ИНФОРМАТОР О РАДУ</w:t>
      </w:r>
    </w:p>
    <w:p>
      <w:pPr>
        <w:bidi w:val="0"/>
        <w:spacing w:line="360" w:lineRule="auto"/>
        <w:jc w:val="center"/>
        <w:rPr>
          <w:b/>
          <w:sz w:val="40"/>
          <w:szCs w:val="40"/>
        </w:rPr>
      </w:pPr>
      <w:r>
        <w:rPr>
          <w:b/>
          <w:sz w:val="40"/>
          <w:szCs w:val="40"/>
        </w:rPr>
        <w:t>ОСНОВНОГ ЈАВНОГ ТУЖИЛАШТВА</w:t>
      </w:r>
    </w:p>
    <w:p>
      <w:pPr>
        <w:bidi w:val="0"/>
        <w:spacing w:line="360" w:lineRule="auto"/>
        <w:jc w:val="center"/>
        <w:rPr>
          <w:b/>
          <w:sz w:val="40"/>
          <w:szCs w:val="40"/>
        </w:rPr>
      </w:pPr>
      <w:r>
        <w:rPr>
          <w:b/>
          <w:sz w:val="40"/>
          <w:szCs w:val="40"/>
        </w:rPr>
        <w:t>У КУРШУМЛИЈИ</w:t>
      </w:r>
    </w:p>
    <w:p>
      <w:pPr>
        <w:bidi w:val="0"/>
        <w:jc w:val="center"/>
        <w:rPr>
          <w:b/>
          <w:sz w:val="32"/>
        </w:rPr>
      </w:pPr>
    </w:p>
    <w:p>
      <w:pPr>
        <w:bidi w:val="0"/>
        <w:jc w:val="center"/>
        <w:rPr>
          <w:b/>
          <w:sz w:val="32"/>
        </w:rPr>
      </w:pPr>
    </w:p>
    <w:p>
      <w:pPr>
        <w:bidi w:val="0"/>
        <w:jc w:val="center"/>
        <w:rPr>
          <w:b/>
          <w:sz w:val="32"/>
        </w:rPr>
      </w:pPr>
    </w:p>
    <w:p>
      <w:pPr>
        <w:bidi w:val="0"/>
        <w:jc w:val="center"/>
        <w:rPr>
          <w:b/>
          <w:sz w:val="32"/>
        </w:rPr>
      </w:pPr>
    </w:p>
    <w:p>
      <w:pPr>
        <w:bidi w:val="0"/>
        <w:jc w:val="center"/>
        <w:rPr>
          <w:b/>
          <w:sz w:val="32"/>
        </w:rPr>
      </w:pPr>
    </w:p>
    <w:p>
      <w:pPr>
        <w:bidi w:val="0"/>
        <w:jc w:val="center"/>
        <w:rPr>
          <w:b/>
          <w:sz w:val="32"/>
        </w:rPr>
      </w:pPr>
    </w:p>
    <w:p>
      <w:pPr>
        <w:bidi w:val="0"/>
        <w:jc w:val="center"/>
        <w:rPr>
          <w:b/>
          <w:sz w:val="32"/>
        </w:rPr>
      </w:pPr>
    </w:p>
    <w:p>
      <w:pPr>
        <w:bidi w:val="0"/>
        <w:jc w:val="center"/>
        <w:rPr>
          <w:b/>
          <w:sz w:val="32"/>
        </w:rPr>
      </w:pPr>
    </w:p>
    <w:p>
      <w:pPr>
        <w:bidi w:val="0"/>
        <w:jc w:val="center"/>
        <w:rPr>
          <w:b/>
          <w:sz w:val="32"/>
        </w:rPr>
      </w:pPr>
    </w:p>
    <w:p>
      <w:pPr>
        <w:bidi w:val="0"/>
        <w:jc w:val="center"/>
        <w:rPr>
          <w:b/>
          <w:sz w:val="32"/>
        </w:rPr>
      </w:pPr>
    </w:p>
    <w:p>
      <w:pPr>
        <w:bidi w:val="0"/>
        <w:jc w:val="center"/>
        <w:rPr>
          <w:b/>
          <w:sz w:val="32"/>
        </w:rPr>
      </w:pPr>
    </w:p>
    <w:p>
      <w:pPr>
        <w:bidi w:val="0"/>
        <w:jc w:val="center"/>
        <w:rPr>
          <w:b/>
          <w:sz w:val="32"/>
        </w:rPr>
      </w:pPr>
    </w:p>
    <w:p>
      <w:pPr>
        <w:bidi w:val="0"/>
        <w:jc w:val="center"/>
        <w:rPr>
          <w:b/>
          <w:sz w:val="32"/>
        </w:rPr>
      </w:pPr>
    </w:p>
    <w:p>
      <w:pPr>
        <w:bidi w:val="0"/>
        <w:jc w:val="center"/>
        <w:rPr>
          <w:b/>
          <w:sz w:val="32"/>
        </w:rPr>
      </w:pPr>
    </w:p>
    <w:p>
      <w:pPr>
        <w:bidi w:val="0"/>
        <w:jc w:val="center"/>
        <w:rPr>
          <w:b/>
          <w:sz w:val="32"/>
        </w:rPr>
      </w:pPr>
    </w:p>
    <w:p>
      <w:pPr>
        <w:bidi w:val="0"/>
        <w:jc w:val="center"/>
        <w:rPr>
          <w:sz w:val="24"/>
        </w:rPr>
        <w:sectPr>
          <w:headerReference r:id="rId5" w:type="default"/>
          <w:footerReference r:id="rId6" w:type="default"/>
          <w:pgSz w:w="11906" w:h="16838"/>
          <w:pgMar w:top="1440" w:right="1800" w:bottom="1440" w:left="1800" w:header="720" w:footer="720" w:gutter="0"/>
          <w:pgNumType w:fmt="decimal"/>
          <w:cols w:space="720" w:num="1"/>
          <w:docGrid w:linePitch="360" w:charSpace="0"/>
        </w:sectPr>
      </w:pPr>
      <w:r>
        <w:rPr>
          <w:b/>
          <w:sz w:val="28"/>
          <w:szCs w:val="28"/>
        </w:rPr>
        <w:t xml:space="preserve">У Куршумлији, </w:t>
      </w:r>
      <w:r>
        <w:rPr>
          <w:b/>
          <w:sz w:val="28"/>
          <w:szCs w:val="28"/>
          <w:lang w:val="zh-CN"/>
        </w:rPr>
        <w:t xml:space="preserve">дана </w:t>
      </w:r>
      <w:r>
        <w:rPr>
          <w:rFonts w:hint="default"/>
          <w:b/>
          <w:sz w:val="28"/>
          <w:szCs w:val="28"/>
          <w:lang w:val="sr-Latn-RS"/>
        </w:rPr>
        <w:t>26</w:t>
      </w:r>
      <w:r>
        <w:rPr>
          <w:b/>
          <w:sz w:val="28"/>
          <w:szCs w:val="28"/>
        </w:rPr>
        <w:t>.</w:t>
      </w:r>
      <w:r>
        <w:rPr>
          <w:b/>
          <w:sz w:val="28"/>
          <w:szCs w:val="28"/>
          <w:lang w:val="sr-Latn-RS"/>
        </w:rPr>
        <w:t>0</w:t>
      </w:r>
      <w:r>
        <w:rPr>
          <w:rFonts w:hint="default"/>
          <w:b/>
          <w:sz w:val="28"/>
          <w:szCs w:val="28"/>
          <w:lang w:val="sr-Latn-RS"/>
        </w:rPr>
        <w:t>5</w:t>
      </w:r>
      <w:r>
        <w:rPr>
          <w:b/>
          <w:sz w:val="28"/>
          <w:szCs w:val="28"/>
        </w:rPr>
        <w:t>.202</w:t>
      </w:r>
      <w:r>
        <w:rPr>
          <w:rFonts w:hint="default"/>
          <w:b/>
          <w:sz w:val="28"/>
          <w:szCs w:val="28"/>
          <w:lang w:val="en-US"/>
        </w:rPr>
        <w:t>3</w:t>
      </w:r>
      <w:r>
        <w:rPr>
          <w:b/>
          <w:sz w:val="28"/>
          <w:szCs w:val="28"/>
        </w:rPr>
        <w:t>. године</w:t>
      </w:r>
    </w:p>
    <w:p>
      <w:pPr>
        <w:bidi w:val="0"/>
        <w:jc w:val="left"/>
        <w:rPr>
          <w:sz w:val="24"/>
        </w:rPr>
      </w:pPr>
    </w:p>
    <w:p>
      <w:pPr>
        <w:numPr>
          <w:ilvl w:val="0"/>
          <w:numId w:val="0"/>
        </w:numPr>
        <w:bidi w:val="0"/>
        <w:ind w:left="0" w:right="0" w:firstLine="720"/>
        <w:jc w:val="both"/>
        <w:outlineLvl w:val="4"/>
      </w:pPr>
      <w:r>
        <w:rPr>
          <w:sz w:val="24"/>
        </w:rPr>
        <w:t xml:space="preserve">На основу члана 34 став 2 Закона о јавном тужилаштву (Сл. Гласник РС 116/08, 104/09, 101/10, 78/11, 38/12, 121/12, 101/13, 111/14, 117/14, 106/15, 63/16), члана 2. Правилника о допунама Правилника о управи у јавном тужилаштву (Сл. Гласник РС 110/09, 87/10, 5/12 и 54/2017) и члана 39. Закона о слободном приступу информацијама од јавног значаја (Службени гласник РС број 120/04, 54/07, 104/2009, 36/2010), </w:t>
      </w:r>
      <w:r>
        <w:rPr>
          <w:sz w:val="24"/>
          <w:lang w:val="sr-Cyrl-RS"/>
        </w:rPr>
        <w:t>Руководилац</w:t>
      </w:r>
      <w:r>
        <w:rPr>
          <w:rFonts w:hint="default"/>
          <w:sz w:val="24"/>
          <w:lang w:val="sr-Cyrl-RS"/>
        </w:rPr>
        <w:t xml:space="preserve"> О</w:t>
      </w:r>
      <w:r>
        <w:rPr>
          <w:sz w:val="24"/>
        </w:rPr>
        <w:t>сновн</w:t>
      </w:r>
      <w:r>
        <w:rPr>
          <w:sz w:val="24"/>
          <w:lang w:val="sr-Cyrl-RS"/>
        </w:rPr>
        <w:t>ог</w:t>
      </w:r>
      <w:r>
        <w:rPr>
          <w:sz w:val="24"/>
        </w:rPr>
        <w:t xml:space="preserve"> јавн</w:t>
      </w:r>
      <w:r>
        <w:rPr>
          <w:sz w:val="24"/>
          <w:lang w:val="sr-Cyrl-RS"/>
        </w:rPr>
        <w:t>ог</w:t>
      </w:r>
      <w:r>
        <w:rPr>
          <w:sz w:val="24"/>
        </w:rPr>
        <w:t xml:space="preserve"> тужила</w:t>
      </w:r>
      <w:r>
        <w:rPr>
          <w:sz w:val="24"/>
          <w:lang w:val="sr-Cyrl-RS"/>
        </w:rPr>
        <w:t>штва</w:t>
      </w:r>
      <w:r>
        <w:rPr>
          <w:sz w:val="24"/>
        </w:rPr>
        <w:t xml:space="preserve"> у Куршумлији, објављује</w:t>
      </w:r>
      <w:r>
        <w:rPr>
          <w:sz w:val="24"/>
          <w:lang w:val="zh-CN"/>
        </w:rPr>
        <w:t>:</w:t>
      </w:r>
    </w:p>
    <w:p>
      <w:pPr>
        <w:bidi w:val="0"/>
        <w:jc w:val="left"/>
        <w:rPr>
          <w:b/>
          <w:sz w:val="24"/>
        </w:rPr>
      </w:pPr>
    </w:p>
    <w:p>
      <w:pPr>
        <w:numPr>
          <w:ilvl w:val="0"/>
          <w:numId w:val="0"/>
        </w:numPr>
        <w:bidi w:val="0"/>
        <w:ind w:left="0" w:right="0" w:firstLine="0"/>
        <w:jc w:val="center"/>
        <w:outlineLvl w:val="0"/>
        <w:rPr>
          <w:b/>
          <w:sz w:val="24"/>
        </w:rPr>
      </w:pPr>
      <w:bookmarkStart w:id="0" w:name="_Toc517172830"/>
      <w:bookmarkEnd w:id="0"/>
      <w:r>
        <w:rPr>
          <w:b/>
          <w:sz w:val="24"/>
        </w:rPr>
        <w:t>ИНФОРМАТОР О РАДУ</w:t>
      </w:r>
    </w:p>
    <w:p>
      <w:pPr>
        <w:numPr>
          <w:ilvl w:val="0"/>
          <w:numId w:val="0"/>
        </w:numPr>
        <w:bidi w:val="0"/>
        <w:ind w:left="0" w:right="0" w:firstLine="0"/>
        <w:jc w:val="center"/>
        <w:outlineLvl w:val="0"/>
        <w:rPr>
          <w:b/>
          <w:sz w:val="24"/>
        </w:rPr>
      </w:pPr>
      <w:bookmarkStart w:id="1" w:name="_Toc517172831"/>
      <w:r>
        <w:rPr>
          <w:b/>
          <w:sz w:val="24"/>
        </w:rPr>
        <w:t xml:space="preserve">ОСНОВНОГ ЈАВНОГ ТУЖИЛАШТВА У </w:t>
      </w:r>
      <w:bookmarkEnd w:id="1"/>
      <w:r>
        <w:rPr>
          <w:b/>
          <w:sz w:val="24"/>
        </w:rPr>
        <w:t>КУРШУМЛИЈИ</w:t>
      </w:r>
    </w:p>
    <w:p>
      <w:pPr>
        <w:bidi w:val="0"/>
        <w:jc w:val="left"/>
        <w:rPr>
          <w:sz w:val="24"/>
        </w:rPr>
      </w:pPr>
    </w:p>
    <w:p>
      <w:pPr>
        <w:bidi w:val="0"/>
        <w:jc w:val="left"/>
        <w:rPr>
          <w:sz w:val="24"/>
        </w:rPr>
      </w:pPr>
    </w:p>
    <w:p>
      <w:pPr>
        <w:bidi w:val="0"/>
        <w:jc w:val="left"/>
        <w:rPr>
          <w:sz w:val="24"/>
        </w:rPr>
      </w:pPr>
    </w:p>
    <w:p>
      <w:pPr>
        <w:numPr>
          <w:ilvl w:val="0"/>
          <w:numId w:val="0"/>
        </w:numPr>
        <w:bidi w:val="0"/>
        <w:ind w:left="0" w:right="0" w:firstLine="0"/>
        <w:jc w:val="center"/>
        <w:outlineLvl w:val="0"/>
        <w:rPr>
          <w:b/>
          <w:color w:val="000000"/>
          <w:sz w:val="24"/>
        </w:rPr>
      </w:pPr>
      <w:bookmarkStart w:id="2" w:name="_Toc517172832"/>
      <w:bookmarkEnd w:id="2"/>
      <w:r>
        <w:rPr>
          <w:b/>
          <w:color w:val="000000"/>
          <w:sz w:val="24"/>
        </w:rPr>
        <w:t>I  -  ОСНОВНИ ПОДАЦИ О ДРЖАВНОМ ОРГАНУ И ИНФОРМАТОРУ</w:t>
      </w:r>
    </w:p>
    <w:p>
      <w:pPr>
        <w:bidi w:val="0"/>
        <w:jc w:val="both"/>
        <w:rPr>
          <w:b/>
          <w:color w:val="000000"/>
          <w:sz w:val="24"/>
        </w:rPr>
      </w:pPr>
    </w:p>
    <w:p>
      <w:pPr>
        <w:bidi w:val="0"/>
        <w:jc w:val="both"/>
        <w:rPr>
          <w:b/>
          <w:color w:val="000000"/>
          <w:sz w:val="24"/>
        </w:rPr>
      </w:pPr>
    </w:p>
    <w:p>
      <w:pPr>
        <w:numPr>
          <w:ilvl w:val="0"/>
          <w:numId w:val="0"/>
        </w:numPr>
        <w:bidi w:val="0"/>
        <w:ind w:left="0" w:right="0" w:firstLine="720"/>
        <w:jc w:val="both"/>
        <w:outlineLvl w:val="4"/>
        <w:rPr>
          <w:color w:val="000000"/>
          <w:sz w:val="24"/>
        </w:rPr>
      </w:pPr>
      <w:r>
        <w:rPr>
          <w:color w:val="000000"/>
          <w:sz w:val="24"/>
        </w:rPr>
        <w:t>Назив државног органа: Основно јавно тужилаштво у Куршумлији</w:t>
      </w:r>
    </w:p>
    <w:p>
      <w:pPr>
        <w:numPr>
          <w:ilvl w:val="0"/>
          <w:numId w:val="0"/>
        </w:numPr>
        <w:bidi w:val="0"/>
        <w:ind w:left="0" w:right="0" w:firstLine="720"/>
        <w:jc w:val="both"/>
        <w:outlineLvl w:val="4"/>
        <w:rPr>
          <w:color w:val="000000"/>
          <w:sz w:val="24"/>
        </w:rPr>
      </w:pPr>
    </w:p>
    <w:p>
      <w:pPr>
        <w:numPr>
          <w:ilvl w:val="0"/>
          <w:numId w:val="0"/>
        </w:numPr>
        <w:bidi w:val="0"/>
        <w:ind w:left="0" w:right="0" w:firstLine="720"/>
        <w:jc w:val="both"/>
        <w:outlineLvl w:val="4"/>
        <w:rPr>
          <w:color w:val="000000"/>
          <w:sz w:val="24"/>
        </w:rPr>
      </w:pPr>
      <w:r>
        <w:rPr>
          <w:color w:val="000000"/>
          <w:sz w:val="24"/>
        </w:rPr>
        <w:t>Адреса седишта: ул. Палих бораца бр. 29, Куршумлија</w:t>
      </w:r>
    </w:p>
    <w:p>
      <w:pPr>
        <w:numPr>
          <w:ilvl w:val="0"/>
          <w:numId w:val="0"/>
        </w:numPr>
        <w:bidi w:val="0"/>
        <w:ind w:left="0" w:right="0" w:firstLine="720"/>
        <w:jc w:val="both"/>
        <w:outlineLvl w:val="4"/>
        <w:rPr>
          <w:color w:val="000000"/>
          <w:sz w:val="24"/>
        </w:rPr>
      </w:pPr>
    </w:p>
    <w:p>
      <w:pPr>
        <w:numPr>
          <w:ilvl w:val="0"/>
          <w:numId w:val="0"/>
        </w:numPr>
        <w:bidi w:val="0"/>
        <w:ind w:left="0" w:right="0" w:firstLine="720"/>
        <w:jc w:val="both"/>
        <w:outlineLvl w:val="4"/>
        <w:rPr>
          <w:color w:val="000000"/>
          <w:sz w:val="24"/>
        </w:rPr>
      </w:pPr>
      <w:r>
        <w:rPr>
          <w:color w:val="000000"/>
          <w:sz w:val="24"/>
        </w:rPr>
        <w:t>Матични број: 17865854</w:t>
      </w:r>
    </w:p>
    <w:p>
      <w:pPr>
        <w:numPr>
          <w:ilvl w:val="0"/>
          <w:numId w:val="0"/>
        </w:numPr>
        <w:bidi w:val="0"/>
        <w:ind w:left="0" w:right="0" w:firstLine="720"/>
        <w:jc w:val="both"/>
        <w:outlineLvl w:val="4"/>
        <w:rPr>
          <w:color w:val="000000"/>
          <w:sz w:val="24"/>
        </w:rPr>
      </w:pPr>
    </w:p>
    <w:p>
      <w:pPr>
        <w:numPr>
          <w:ilvl w:val="0"/>
          <w:numId w:val="0"/>
        </w:numPr>
        <w:bidi w:val="0"/>
        <w:ind w:left="0" w:right="0" w:firstLine="720"/>
        <w:jc w:val="both"/>
        <w:outlineLvl w:val="4"/>
        <w:rPr>
          <w:color w:val="000000"/>
          <w:sz w:val="24"/>
        </w:rPr>
      </w:pPr>
      <w:r>
        <w:rPr>
          <w:color w:val="000000"/>
          <w:sz w:val="24"/>
        </w:rPr>
        <w:t>Порески идентификациони број: 108347993</w:t>
      </w:r>
    </w:p>
    <w:p>
      <w:pPr>
        <w:numPr>
          <w:ilvl w:val="0"/>
          <w:numId w:val="0"/>
        </w:numPr>
        <w:bidi w:val="0"/>
        <w:ind w:left="0" w:right="0" w:firstLine="720"/>
        <w:jc w:val="both"/>
        <w:outlineLvl w:val="4"/>
        <w:rPr>
          <w:color w:val="000000"/>
          <w:sz w:val="24"/>
        </w:rPr>
      </w:pPr>
    </w:p>
    <w:p>
      <w:pPr>
        <w:numPr>
          <w:ilvl w:val="0"/>
          <w:numId w:val="0"/>
        </w:numPr>
        <w:bidi w:val="0"/>
        <w:ind w:left="0" w:right="0" w:firstLine="720"/>
        <w:jc w:val="both"/>
        <w:outlineLvl w:val="4"/>
        <w:rPr>
          <w:color w:val="000000"/>
          <w:sz w:val="24"/>
        </w:rPr>
      </w:pPr>
      <w:r>
        <w:rPr>
          <w:color w:val="000000"/>
          <w:sz w:val="24"/>
        </w:rPr>
        <w:t>Телефон: 027/ 381-047</w:t>
      </w:r>
    </w:p>
    <w:p>
      <w:pPr>
        <w:numPr>
          <w:ilvl w:val="0"/>
          <w:numId w:val="0"/>
        </w:numPr>
        <w:bidi w:val="0"/>
        <w:ind w:left="0" w:right="0" w:firstLine="720"/>
        <w:jc w:val="both"/>
        <w:outlineLvl w:val="4"/>
        <w:rPr>
          <w:color w:val="000000"/>
          <w:sz w:val="24"/>
        </w:rPr>
      </w:pPr>
      <w:r>
        <w:rPr>
          <w:color w:val="000000"/>
          <w:sz w:val="24"/>
        </w:rPr>
        <w:t xml:space="preserve">                 027/ 389-016</w:t>
      </w:r>
    </w:p>
    <w:p>
      <w:pPr>
        <w:numPr>
          <w:ilvl w:val="0"/>
          <w:numId w:val="0"/>
        </w:numPr>
        <w:bidi w:val="0"/>
        <w:ind w:left="0" w:right="0" w:firstLine="0"/>
        <w:jc w:val="both"/>
        <w:outlineLvl w:val="4"/>
        <w:rPr>
          <w:color w:val="000000"/>
          <w:sz w:val="24"/>
        </w:rPr>
      </w:pPr>
    </w:p>
    <w:p>
      <w:pPr>
        <w:numPr>
          <w:ilvl w:val="0"/>
          <w:numId w:val="0"/>
        </w:numPr>
        <w:bidi w:val="0"/>
        <w:ind w:left="0" w:right="0" w:firstLine="360"/>
        <w:jc w:val="both"/>
        <w:outlineLvl w:val="4"/>
        <w:rPr>
          <w:color w:val="000000"/>
          <w:sz w:val="24"/>
        </w:rPr>
      </w:pPr>
      <w:r>
        <w:rPr>
          <w:color w:val="000000"/>
          <w:sz w:val="24"/>
        </w:rPr>
        <w:t xml:space="preserve">       Факс: 027/ 381-047</w:t>
      </w:r>
    </w:p>
    <w:p>
      <w:pPr>
        <w:numPr>
          <w:ilvl w:val="0"/>
          <w:numId w:val="0"/>
        </w:numPr>
        <w:bidi w:val="0"/>
        <w:ind w:left="0" w:right="0" w:firstLine="360"/>
        <w:jc w:val="both"/>
        <w:outlineLvl w:val="4"/>
        <w:rPr>
          <w:color w:val="000000"/>
          <w:sz w:val="24"/>
        </w:rPr>
      </w:pPr>
    </w:p>
    <w:p>
      <w:pPr>
        <w:numPr>
          <w:ilvl w:val="0"/>
          <w:numId w:val="0"/>
        </w:numPr>
        <w:bidi w:val="0"/>
        <w:ind w:left="0" w:right="0" w:firstLine="360"/>
        <w:jc w:val="both"/>
        <w:outlineLvl w:val="4"/>
        <w:rPr>
          <w:rFonts w:hint="default"/>
          <w:color w:val="000000"/>
          <w:sz w:val="24"/>
          <w:lang w:val="sr-Cyrl-RS"/>
        </w:rPr>
      </w:pPr>
      <w:r>
        <w:rPr>
          <w:color w:val="000000"/>
          <w:sz w:val="24"/>
        </w:rPr>
        <w:tab/>
      </w:r>
      <w:r>
        <w:rPr>
          <w:color w:val="000000"/>
          <w:sz w:val="24"/>
        </w:rPr>
        <w:t xml:space="preserve">Адреса електронске поште: </w:t>
      </w:r>
      <w:r>
        <w:rPr>
          <w:color w:val="000000"/>
          <w:sz w:val="24"/>
        </w:rPr>
        <w:fldChar w:fldCharType="begin"/>
      </w:r>
      <w:r>
        <w:rPr>
          <w:color w:val="000000"/>
          <w:sz w:val="24"/>
        </w:rPr>
        <w:instrText xml:space="preserve"> HYPERLINK "mailto:ojtkursumlija1@gmail.com," </w:instrText>
      </w:r>
      <w:r>
        <w:rPr>
          <w:color w:val="000000"/>
          <w:sz w:val="24"/>
        </w:rPr>
        <w:fldChar w:fldCharType="separate"/>
      </w:r>
      <w:r>
        <w:rPr>
          <w:rStyle w:val="8"/>
          <w:color w:val="000000"/>
          <w:sz w:val="24"/>
        </w:rPr>
        <w:t>ojtkursumlija1@gmail.com</w:t>
      </w:r>
      <w:r>
        <w:rPr>
          <w:rStyle w:val="8"/>
          <w:rFonts w:hint="default"/>
          <w:color w:val="000000"/>
          <w:sz w:val="24"/>
          <w:lang w:val="sr-Cyrl-RS"/>
        </w:rPr>
        <w:t>,</w:t>
      </w:r>
      <w:r>
        <w:rPr>
          <w:color w:val="000000"/>
          <w:sz w:val="24"/>
        </w:rPr>
        <w:fldChar w:fldCharType="end"/>
      </w:r>
      <w:r>
        <w:rPr>
          <w:rFonts w:hint="default"/>
          <w:color w:val="000000"/>
          <w:sz w:val="24"/>
          <w:lang w:val="sr-Cyrl-RS"/>
        </w:rPr>
        <w:t xml:space="preserve"> и uprava@kursumlija.ojt.rs. </w:t>
      </w:r>
    </w:p>
    <w:p>
      <w:pPr>
        <w:numPr>
          <w:ilvl w:val="0"/>
          <w:numId w:val="0"/>
        </w:numPr>
        <w:bidi w:val="0"/>
        <w:ind w:left="0" w:right="0" w:firstLine="0"/>
        <w:jc w:val="both"/>
        <w:outlineLvl w:val="4"/>
        <w:rPr>
          <w:color w:val="000000"/>
          <w:sz w:val="24"/>
        </w:rPr>
      </w:pPr>
    </w:p>
    <w:p>
      <w:pPr>
        <w:numPr>
          <w:ilvl w:val="0"/>
          <w:numId w:val="0"/>
        </w:numPr>
        <w:bidi w:val="0"/>
        <w:ind w:left="0" w:right="0" w:firstLine="0"/>
        <w:jc w:val="both"/>
        <w:outlineLvl w:val="4"/>
        <w:rPr>
          <w:color w:val="000000"/>
          <w:sz w:val="24"/>
        </w:rPr>
      </w:pPr>
      <w:r>
        <w:rPr>
          <w:color w:val="000000"/>
          <w:sz w:val="24"/>
        </w:rPr>
        <w:tab/>
      </w:r>
      <w:r>
        <w:rPr>
          <w:color w:val="000000"/>
          <w:sz w:val="24"/>
        </w:rPr>
        <w:t xml:space="preserve">Лице које је одговорно за тачност и потпуност података које садржи овај Информатор је </w:t>
      </w:r>
      <w:r>
        <w:rPr>
          <w:color w:val="000000"/>
          <w:sz w:val="24"/>
          <w:lang w:val="sr-Cyrl-RS"/>
        </w:rPr>
        <w:t>В</w:t>
      </w:r>
      <w:r>
        <w:rPr>
          <w:rFonts w:hint="default"/>
          <w:color w:val="000000"/>
          <w:sz w:val="24"/>
          <w:lang w:val="sr-Cyrl-RS"/>
        </w:rPr>
        <w:t>.Ф Главног јавног тужиоца у Куршумлији Биљана Милосављевић</w:t>
      </w:r>
      <w:r>
        <w:rPr>
          <w:color w:val="000000"/>
          <w:sz w:val="24"/>
        </w:rPr>
        <w:t xml:space="preserve">. </w:t>
      </w:r>
    </w:p>
    <w:p>
      <w:pPr>
        <w:numPr>
          <w:ilvl w:val="0"/>
          <w:numId w:val="0"/>
        </w:numPr>
        <w:bidi w:val="0"/>
        <w:ind w:left="0" w:right="0" w:firstLine="0"/>
        <w:jc w:val="both"/>
        <w:outlineLvl w:val="4"/>
        <w:rPr>
          <w:color w:val="000000"/>
          <w:sz w:val="24"/>
        </w:rPr>
      </w:pPr>
    </w:p>
    <w:p>
      <w:pPr>
        <w:numPr>
          <w:ilvl w:val="0"/>
          <w:numId w:val="0"/>
        </w:numPr>
        <w:bidi w:val="0"/>
        <w:ind w:left="0" w:right="0" w:firstLine="0"/>
        <w:jc w:val="both"/>
        <w:outlineLvl w:val="4"/>
      </w:pPr>
      <w:r>
        <w:rPr>
          <w:color w:val="000000"/>
          <w:sz w:val="24"/>
        </w:rPr>
        <w:tab/>
      </w:r>
      <w:r>
        <w:rPr>
          <w:color w:val="000000"/>
          <w:sz w:val="24"/>
        </w:rPr>
        <w:t xml:space="preserve">Информатор о раду Основног јавног тужилаштва у Куршумлији последњи пут је објављен за </w:t>
      </w:r>
      <w:r>
        <w:rPr>
          <w:color w:val="000000"/>
          <w:sz w:val="24"/>
          <w:lang w:val="zh-CN"/>
        </w:rPr>
        <w:t>20</w:t>
      </w:r>
      <w:r>
        <w:rPr>
          <w:rFonts w:hint="default"/>
          <w:color w:val="000000"/>
          <w:sz w:val="24"/>
          <w:lang w:val="sr-Cyrl-RS"/>
        </w:rPr>
        <w:t>22</w:t>
      </w:r>
      <w:r>
        <w:rPr>
          <w:color w:val="000000"/>
          <w:sz w:val="24"/>
          <w:lang w:val="zh-CN"/>
        </w:rPr>
        <w:t>.</w:t>
      </w:r>
      <w:r>
        <w:rPr>
          <w:color w:val="000000"/>
          <w:sz w:val="24"/>
        </w:rPr>
        <w:t xml:space="preserve"> годину дана </w:t>
      </w:r>
      <w:r>
        <w:rPr>
          <w:rFonts w:hint="default"/>
          <w:color w:val="000000"/>
          <w:sz w:val="24"/>
          <w:lang w:val="sr-Cyrl-RS"/>
        </w:rPr>
        <w:t>02</w:t>
      </w:r>
      <w:r>
        <w:rPr>
          <w:color w:val="000000"/>
          <w:sz w:val="24"/>
        </w:rPr>
        <w:t>.0</w:t>
      </w:r>
      <w:r>
        <w:rPr>
          <w:rFonts w:hint="default"/>
          <w:color w:val="000000"/>
          <w:sz w:val="24"/>
          <w:lang w:val="sr-Cyrl-RS"/>
        </w:rPr>
        <w:t>2</w:t>
      </w:r>
      <w:r>
        <w:rPr>
          <w:color w:val="000000"/>
          <w:sz w:val="24"/>
        </w:rPr>
        <w:t>.202</w:t>
      </w:r>
      <w:r>
        <w:rPr>
          <w:rFonts w:hint="default"/>
          <w:color w:val="000000"/>
          <w:sz w:val="24"/>
          <w:lang w:val="sr-Cyrl-RS"/>
        </w:rPr>
        <w:t>3</w:t>
      </w:r>
      <w:r>
        <w:rPr>
          <w:color w:val="000000"/>
          <w:sz w:val="24"/>
        </w:rPr>
        <w:t>. године</w:t>
      </w:r>
      <w:r>
        <w:rPr>
          <w:rFonts w:hint="default"/>
          <w:color w:val="000000"/>
          <w:sz w:val="24"/>
          <w:lang w:val="sr-Cyrl-RS"/>
        </w:rPr>
        <w:t xml:space="preserve"> на сајту Основног јавног тужилаштва и сајту Повереника за информације од јавног значај</w:t>
      </w:r>
      <w:r>
        <w:rPr>
          <w:color w:val="000000"/>
          <w:sz w:val="24"/>
        </w:rPr>
        <w:t xml:space="preserve">. </w:t>
      </w:r>
    </w:p>
    <w:p>
      <w:pPr>
        <w:numPr>
          <w:ilvl w:val="0"/>
          <w:numId w:val="0"/>
        </w:numPr>
        <w:bidi w:val="0"/>
        <w:ind w:left="0" w:right="0" w:firstLine="0"/>
        <w:jc w:val="both"/>
        <w:outlineLvl w:val="4"/>
        <w:rPr>
          <w:color w:val="000000"/>
          <w:sz w:val="24"/>
        </w:rPr>
      </w:pPr>
    </w:p>
    <w:p>
      <w:pPr>
        <w:numPr>
          <w:ilvl w:val="0"/>
          <w:numId w:val="0"/>
        </w:numPr>
        <w:bidi w:val="0"/>
        <w:ind w:left="0" w:right="0" w:firstLine="0"/>
        <w:jc w:val="both"/>
        <w:outlineLvl w:val="4"/>
        <w:rPr>
          <w:color w:val="000000"/>
          <w:sz w:val="24"/>
        </w:rPr>
      </w:pPr>
      <w:r>
        <w:rPr>
          <w:color w:val="000000"/>
          <w:sz w:val="24"/>
        </w:rPr>
        <w:tab/>
      </w:r>
      <w:r>
        <w:rPr>
          <w:color w:val="000000"/>
          <w:sz w:val="24"/>
        </w:rPr>
        <w:t xml:space="preserve">Овај информатор се налази на сајту </w:t>
      </w:r>
      <w:r>
        <w:rPr>
          <w:rFonts w:eastAsia="SimSun"/>
          <w:color w:val="000000"/>
          <w:position w:val="0"/>
          <w:sz w:val="24"/>
          <w:u w:val="none"/>
          <w:vertAlign w:val="baseline"/>
          <w:lang w:val="zh-CN"/>
        </w:rPr>
        <w:t>Основног</w:t>
      </w:r>
      <w:r>
        <w:rPr>
          <w:color w:val="000000"/>
          <w:sz w:val="24"/>
        </w:rPr>
        <w:t xml:space="preserve"> јавног тужилаштва у </w:t>
      </w:r>
      <w:r>
        <w:rPr>
          <w:rFonts w:eastAsia="SimSun"/>
          <w:color w:val="000000"/>
          <w:position w:val="0"/>
          <w:sz w:val="24"/>
          <w:u w:val="none"/>
          <w:vertAlign w:val="baseline"/>
          <w:lang w:val="zh-CN"/>
        </w:rPr>
        <w:t>Куршумлији</w:t>
      </w:r>
      <w:r>
        <w:rPr>
          <w:color w:val="000000"/>
          <w:sz w:val="24"/>
        </w:rPr>
        <w:t xml:space="preserve"> </w:t>
      </w:r>
      <w:r>
        <w:rPr>
          <w:color w:val="000000"/>
          <w:sz w:val="24"/>
        </w:rPr>
        <w:fldChar w:fldCharType="begin"/>
      </w:r>
      <w:r>
        <w:rPr>
          <w:color w:val="000000"/>
          <w:sz w:val="24"/>
        </w:rPr>
        <w:instrText xml:space="preserve"> HYPERLINK "https://ku.os.jt.rs," </w:instrText>
      </w:r>
      <w:r>
        <w:rPr>
          <w:color w:val="000000"/>
          <w:sz w:val="24"/>
        </w:rPr>
        <w:fldChar w:fldCharType="separate"/>
      </w:r>
      <w:r>
        <w:rPr>
          <w:rStyle w:val="8"/>
          <w:color w:val="000000"/>
          <w:sz w:val="24"/>
        </w:rPr>
        <w:t>https://ku.os.jt.rs</w:t>
      </w:r>
      <w:r>
        <w:rPr>
          <w:rStyle w:val="8"/>
          <w:rFonts w:hint="default"/>
          <w:color w:val="000000"/>
          <w:sz w:val="24"/>
          <w:lang w:val="sr-Cyrl-RS"/>
        </w:rPr>
        <w:t>,</w:t>
      </w:r>
      <w:r>
        <w:rPr>
          <w:color w:val="000000"/>
          <w:sz w:val="24"/>
        </w:rPr>
        <w:fldChar w:fldCharType="end"/>
      </w:r>
      <w:r>
        <w:rPr>
          <w:rFonts w:hint="default"/>
          <w:color w:val="000000"/>
          <w:sz w:val="24"/>
          <w:lang w:val="sr-Cyrl-RS"/>
        </w:rPr>
        <w:t xml:space="preserve"> на сајту Повереника за информације од јавног значаја и зачтиту података о личности  https://www.poverenik.rs/sr-yu,</w:t>
      </w:r>
      <w:r>
        <w:rPr>
          <w:rFonts w:hint="default"/>
          <w:color w:val="000000"/>
          <w:sz w:val="24"/>
          <w:lang w:val="sr-Cyrl-RS"/>
        </w:rPr>
        <w:fldChar w:fldCharType="begin"/>
      </w:r>
      <w:r>
        <w:rPr>
          <w:rFonts w:hint="default"/>
          <w:color w:val="000000"/>
          <w:sz w:val="24"/>
          <w:lang w:val="sr-Cyrl-RS"/>
        </w:rPr>
        <w:instrText xml:space="preserve"> HYPERLINK "https://www.bing.com/search?q=poverenik+za+zastitu+podataka+o+licnosti&amp;form=EDGTCT&amp;qs=MT&amp;cvid=62abf1d4103340d98fe55ef6f6b6ce07&amp;cc=US&amp;setlang=en-US&amp;plvar=0" </w:instrText>
      </w:r>
      <w:r>
        <w:rPr>
          <w:rFonts w:hint="default"/>
          <w:color w:val="000000"/>
          <w:sz w:val="24"/>
          <w:lang w:val="sr-Cyrl-RS"/>
        </w:rPr>
        <w:fldChar w:fldCharType="separate"/>
      </w:r>
      <w:r>
        <w:rPr>
          <w:rFonts w:hint="default"/>
          <w:color w:val="000000"/>
          <w:sz w:val="24"/>
          <w:lang w:val="sr-Cyrl-RS"/>
        </w:rPr>
        <w:fldChar w:fldCharType="end"/>
      </w:r>
      <w:r>
        <w:rPr>
          <w:color w:val="000000"/>
          <w:sz w:val="24"/>
        </w:rPr>
        <w:t xml:space="preserve"> и у писаном облику у Управи Основног јавног тужилаштва у Куршумлији. Садржи основне податке о оснивању, организацији и раду Основног јавног тужилаштва у Куршумлији, као и релевантне податке о начину омогућавања приступа информацијама од јавног значаја заинтересованим лицима као и друге податке који су од значаја за садржину, обим и начин остваривања овог права. </w:t>
      </w:r>
    </w:p>
    <w:p>
      <w:pPr>
        <w:numPr>
          <w:ilvl w:val="0"/>
          <w:numId w:val="0"/>
        </w:numPr>
        <w:bidi w:val="0"/>
        <w:ind w:left="0" w:right="0" w:firstLine="720"/>
        <w:jc w:val="both"/>
        <w:outlineLvl w:val="4"/>
        <w:rPr>
          <w:color w:val="000000"/>
          <w:sz w:val="24"/>
        </w:rPr>
      </w:pPr>
    </w:p>
    <w:p>
      <w:pPr>
        <w:numPr>
          <w:ilvl w:val="0"/>
          <w:numId w:val="0"/>
        </w:numPr>
        <w:bidi w:val="0"/>
        <w:ind w:right="0"/>
        <w:jc w:val="both"/>
        <w:outlineLvl w:val="4"/>
        <w:rPr>
          <w:color w:val="000000"/>
          <w:sz w:val="24"/>
        </w:rPr>
      </w:pPr>
      <w:r>
        <w:rPr>
          <w:sz w:val="24"/>
        </w:rPr>
        <w:t xml:space="preserve">Увид у Информатор о раду Основног јавног тужилаштва у </w:t>
      </w:r>
      <w:r>
        <w:rPr>
          <w:color w:val="000000"/>
          <w:sz w:val="24"/>
        </w:rPr>
        <w:t>Куршумлији</w:t>
      </w:r>
      <w:r>
        <w:rPr>
          <w:sz w:val="24"/>
        </w:rPr>
        <w:t xml:space="preserve"> може се извршити у просторијама Основног јавног тужилаштва у </w:t>
      </w:r>
      <w:r>
        <w:rPr>
          <w:color w:val="000000"/>
          <w:sz w:val="24"/>
        </w:rPr>
        <w:t>Куршумлиј</w:t>
      </w:r>
      <w:r>
        <w:rPr>
          <w:color w:val="000000"/>
          <w:sz w:val="24"/>
          <w:lang w:val="sr-Cyrl-RS"/>
        </w:rPr>
        <w:t>и</w:t>
      </w:r>
      <w:r>
        <w:rPr>
          <w:rFonts w:hint="default"/>
          <w:color w:val="000000"/>
          <w:sz w:val="24"/>
          <w:lang w:val="sr-Cyrl-RS"/>
        </w:rPr>
        <w:t>, у</w:t>
      </w:r>
      <w:r>
        <w:rPr>
          <w:sz w:val="24"/>
        </w:rPr>
        <w:t xml:space="preserve">л. Палих бораца бр. 29, канцеларија бр. 13, у време радног времена од 7,30 до 15,30 часова. Информатор о раду Основног јавног тужилаштва у </w:t>
      </w:r>
      <w:r>
        <w:rPr>
          <w:color w:val="000000"/>
          <w:sz w:val="24"/>
        </w:rPr>
        <w:t>Куршумлији</w:t>
      </w:r>
      <w:r>
        <w:rPr>
          <w:sz w:val="24"/>
        </w:rPr>
        <w:t xml:space="preserve"> се може преузети на веб-адреси: https://ku.os.jt.rs</w:t>
      </w:r>
      <w:r>
        <w:rPr>
          <w:color w:val="000000"/>
          <w:sz w:val="24"/>
        </w:rPr>
        <w:t>.</w:t>
      </w:r>
    </w:p>
    <w:p>
      <w:pPr>
        <w:numPr>
          <w:ilvl w:val="0"/>
          <w:numId w:val="0"/>
        </w:numPr>
        <w:bidi w:val="0"/>
        <w:ind w:left="0" w:right="0" w:firstLine="720"/>
        <w:jc w:val="both"/>
        <w:outlineLvl w:val="4"/>
        <w:rPr>
          <w:color w:val="000000"/>
          <w:sz w:val="24"/>
        </w:rPr>
      </w:pPr>
    </w:p>
    <w:p>
      <w:pPr>
        <w:numPr>
          <w:ilvl w:val="0"/>
          <w:numId w:val="0"/>
        </w:numPr>
        <w:bidi w:val="0"/>
        <w:ind w:left="0" w:right="0" w:firstLine="357"/>
        <w:jc w:val="center"/>
        <w:outlineLvl w:val="0"/>
        <w:rPr>
          <w:b/>
          <w:color w:val="000000"/>
          <w:sz w:val="24"/>
        </w:rPr>
      </w:pPr>
      <w:bookmarkStart w:id="3" w:name="_Toc517172833"/>
      <w:bookmarkEnd w:id="3"/>
      <w:r>
        <w:rPr>
          <w:b/>
          <w:color w:val="000000"/>
          <w:sz w:val="24"/>
        </w:rPr>
        <w:t>II  -  ОРГАНИЗАЦИОНА СТРУКТУРА</w:t>
      </w:r>
    </w:p>
    <w:p>
      <w:pPr>
        <w:bidi w:val="0"/>
        <w:jc w:val="left"/>
        <w:rPr>
          <w:b/>
          <w:color w:val="000000"/>
          <w:sz w:val="24"/>
        </w:rPr>
      </w:pPr>
    </w:p>
    <w:p>
      <w:pPr>
        <w:numPr>
          <w:ilvl w:val="0"/>
          <w:numId w:val="0"/>
        </w:numPr>
        <w:bidi w:val="0"/>
        <w:ind w:left="0" w:right="0" w:firstLine="720"/>
        <w:jc w:val="both"/>
        <w:outlineLvl w:val="4"/>
        <w:rPr>
          <w:sz w:val="24"/>
        </w:rPr>
      </w:pPr>
      <w:r>
        <w:rPr>
          <w:sz w:val="24"/>
        </w:rPr>
        <w:t xml:space="preserve">Организациона структура Основног јавног тужилаштва у </w:t>
      </w:r>
      <w:r>
        <w:rPr>
          <w:color w:val="000000"/>
          <w:sz w:val="24"/>
        </w:rPr>
        <w:t>Куршумлији</w:t>
      </w:r>
      <w:r>
        <w:rPr>
          <w:sz w:val="24"/>
        </w:rPr>
        <w:t xml:space="preserve"> уређена је Правилником о унутрашњем уређењу и систематизацији радних места у Основном јавном тужилаштву у </w:t>
      </w:r>
      <w:r>
        <w:rPr>
          <w:color w:val="000000"/>
          <w:sz w:val="24"/>
        </w:rPr>
        <w:t>Куршумлији</w:t>
      </w:r>
      <w:r>
        <w:rPr>
          <w:sz w:val="24"/>
        </w:rPr>
        <w:t xml:space="preserve"> којим су утврђене организационе јединице и послови који се у њима обављају. Правилником о унутрашњем уређењу и систематизацији радих места у Основном јавном тужилаштву у </w:t>
      </w:r>
      <w:r>
        <w:rPr>
          <w:color w:val="000000"/>
          <w:sz w:val="24"/>
        </w:rPr>
        <w:t>Куршумлији</w:t>
      </w:r>
      <w:r>
        <w:rPr>
          <w:sz w:val="24"/>
        </w:rPr>
        <w:t xml:space="preserve"> систематизовано је </w:t>
      </w:r>
      <w:r>
        <w:rPr>
          <w:rFonts w:hint="default"/>
          <w:sz w:val="24"/>
          <w:lang w:val="sr-Cyrl-RS"/>
        </w:rPr>
        <w:t>5</w:t>
      </w:r>
      <w:r>
        <w:rPr>
          <w:sz w:val="24"/>
        </w:rPr>
        <w:t xml:space="preserve"> радн</w:t>
      </w:r>
      <w:r>
        <w:rPr>
          <w:sz w:val="24"/>
          <w:lang w:val="sr-Cyrl-RS"/>
        </w:rPr>
        <w:t>их</w:t>
      </w:r>
      <w:r>
        <w:rPr>
          <w:sz w:val="24"/>
        </w:rPr>
        <w:t xml:space="preserve"> места са </w:t>
      </w:r>
      <w:r>
        <w:rPr>
          <w:rFonts w:hint="default"/>
          <w:sz w:val="24"/>
          <w:lang w:val="sr-Cyrl-RS"/>
        </w:rPr>
        <w:t xml:space="preserve">7 </w:t>
      </w:r>
      <w:r>
        <w:rPr>
          <w:sz w:val="24"/>
        </w:rPr>
        <w:t>запослен</w:t>
      </w:r>
      <w:r>
        <w:rPr>
          <w:sz w:val="24"/>
          <w:lang w:val="sr-Cyrl-RS"/>
        </w:rPr>
        <w:t>их</w:t>
      </w:r>
      <w:r>
        <w:rPr>
          <w:sz w:val="24"/>
        </w:rPr>
        <w:t xml:space="preserve"> од којих је </w:t>
      </w:r>
      <w:r>
        <w:rPr>
          <w:sz w:val="24"/>
          <w:lang w:val="sr-Cyrl-RS"/>
        </w:rPr>
        <w:t>четири</w:t>
      </w:r>
      <w:r>
        <w:rPr>
          <w:sz w:val="24"/>
        </w:rPr>
        <w:t xml:space="preserve"> на неодређено а</w:t>
      </w:r>
      <w:r>
        <w:rPr>
          <w:sz w:val="24"/>
          <w:lang w:val="zh-CN"/>
        </w:rPr>
        <w:t xml:space="preserve"> </w:t>
      </w:r>
      <w:r>
        <w:rPr>
          <w:sz w:val="24"/>
          <w:lang w:val="sr-Cyrl-RS"/>
        </w:rPr>
        <w:t>три</w:t>
      </w:r>
      <w:r>
        <w:rPr>
          <w:sz w:val="24"/>
          <w:lang w:val="zh-CN"/>
        </w:rPr>
        <w:t xml:space="preserve"> </w:t>
      </w:r>
      <w:r>
        <w:rPr>
          <w:sz w:val="24"/>
        </w:rPr>
        <w:t xml:space="preserve">на одређено </w:t>
      </w:r>
      <w:r>
        <w:rPr>
          <w:sz w:val="24"/>
          <w:lang w:val="zh-CN"/>
        </w:rPr>
        <w:t>време</w:t>
      </w:r>
      <w:r>
        <w:rPr>
          <w:rFonts w:hint="default"/>
          <w:sz w:val="24"/>
          <w:lang w:val="sr-Cyrl-RS"/>
        </w:rPr>
        <w:t xml:space="preserve"> због повећаног обима посла</w:t>
      </w:r>
      <w:r>
        <w:rPr>
          <w:sz w:val="24"/>
        </w:rPr>
        <w:t>.</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rFonts w:hint="default"/>
          <w:sz w:val="24"/>
          <w:lang w:val="sr-Cyrl-RS"/>
        </w:rPr>
      </w:pPr>
      <w:r>
        <w:rPr>
          <w:rFonts w:hint="default"/>
          <w:sz w:val="24"/>
          <w:lang w:val="sr-Cyrl-RS"/>
        </w:rPr>
        <w:t>Основно јавно тужилаштво у Куршумлији има једног Главног јавног тужиоца и једног јавног тужиоца.</w:t>
      </w:r>
    </w:p>
    <w:p>
      <w:pPr>
        <w:numPr>
          <w:ilvl w:val="0"/>
          <w:numId w:val="0"/>
        </w:numPr>
        <w:bidi w:val="0"/>
        <w:ind w:left="0" w:right="0" w:firstLine="720"/>
        <w:jc w:val="both"/>
        <w:outlineLvl w:val="4"/>
        <w:rPr>
          <w:rFonts w:hint="default"/>
          <w:sz w:val="24"/>
          <w:lang w:val="sr-Cyrl-RS"/>
        </w:rPr>
      </w:pPr>
    </w:p>
    <w:p>
      <w:pPr>
        <w:numPr>
          <w:ilvl w:val="0"/>
          <w:numId w:val="0"/>
        </w:numPr>
        <w:bidi w:val="0"/>
        <w:ind w:left="0" w:right="0" w:firstLine="720"/>
        <w:jc w:val="both"/>
        <w:outlineLvl w:val="4"/>
        <w:rPr>
          <w:rFonts w:hint="default"/>
          <w:sz w:val="24"/>
          <w:lang w:val="sr-Cyrl-RS"/>
        </w:rPr>
      </w:pPr>
      <w:r>
        <w:rPr>
          <w:rFonts w:hint="default"/>
          <w:sz w:val="24"/>
          <w:lang w:val="sr-Cyrl-RS"/>
        </w:rPr>
        <w:t xml:space="preserve">Решењем Високог савета тужилаштва А.бр.295/23 од 13.05.2023.године, Биљана Милосављевић јавни тужилац у Основном јавном тужилаштву у Куршумлији постављена је за вршиоца функције главног јавног тужиоца у Основном јавном тужилаштву у Куршумлији, почев од 15.05.2023.године. ен вршилац функције Основног јавног тужилаштва у Куршумлији, док главни јавни тужилац не ступи на јавнотужилачку функцију, а најдуже а најдуже на једну годину. </w:t>
      </w:r>
    </w:p>
    <w:p>
      <w:pPr>
        <w:numPr>
          <w:ilvl w:val="0"/>
          <w:numId w:val="0"/>
        </w:numPr>
        <w:bidi w:val="0"/>
        <w:ind w:left="0" w:right="0" w:firstLine="720"/>
        <w:jc w:val="both"/>
        <w:outlineLvl w:val="4"/>
        <w:rPr>
          <w:rFonts w:hint="default"/>
          <w:sz w:val="24"/>
          <w:lang w:val="sr-Cyrl-RS"/>
        </w:rPr>
      </w:pPr>
    </w:p>
    <w:p>
      <w:pPr>
        <w:numPr>
          <w:ilvl w:val="0"/>
          <w:numId w:val="0"/>
        </w:numPr>
        <w:bidi w:val="0"/>
        <w:ind w:left="0" w:right="0" w:firstLine="720"/>
        <w:jc w:val="both"/>
        <w:outlineLvl w:val="4"/>
        <w:rPr>
          <w:sz w:val="24"/>
        </w:rPr>
      </w:pPr>
      <w:r>
        <w:rPr>
          <w:sz w:val="24"/>
        </w:rPr>
        <w:t>Полазећи од врсте, обима и сложености послова у овом тужилаштву и потреба законитог, ажурног и ефикасног рада, образовани су кривично одељење, писарница, док рачуноводствене послове обавља шеф рачуноводства ОЈТ у Прокупљу, по споразуму закљученом између тужилаштава.</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 xml:space="preserve">У кривичном одељењу обављају се послови и задаци из надлежности тужилаштва у кривичним и другим предметима.   </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lang w:val="zh-CN"/>
        </w:rPr>
      </w:pPr>
      <w:r>
        <w:rPr>
          <w:sz w:val="24"/>
        </w:rPr>
        <w:t xml:space="preserve">Виши </w:t>
      </w:r>
      <w:r>
        <w:rPr>
          <w:sz w:val="24"/>
          <w:lang w:val="sr-Cyrl-RS"/>
        </w:rPr>
        <w:t>јавно</w:t>
      </w:r>
      <w:r>
        <w:rPr>
          <w:sz w:val="24"/>
        </w:rPr>
        <w:t xml:space="preserve">тужилачки </w:t>
      </w:r>
      <w:r>
        <w:rPr>
          <w:sz w:val="24"/>
          <w:lang w:val="sr-Cyrl-RS"/>
        </w:rPr>
        <w:t>сарад</w:t>
      </w:r>
      <w:r>
        <w:rPr>
          <w:sz w:val="24"/>
        </w:rPr>
        <w:t xml:space="preserve">ник </w:t>
      </w:r>
      <w:r>
        <w:rPr>
          <w:rFonts w:eastAsiaTheme="minorEastAsia" w:cstheme="minorBidi"/>
          <w:color w:val="000000"/>
          <w:position w:val="0"/>
          <w:sz w:val="24"/>
          <w:u w:val="none"/>
          <w:shd w:val="clear" w:fill="FFFFFF"/>
          <w:vertAlign w:val="baseline"/>
          <w:lang w:val="zh-CN"/>
        </w:rPr>
        <w:t xml:space="preserve">Јелена </w:t>
      </w:r>
      <w:r>
        <w:rPr>
          <w:rFonts w:eastAsiaTheme="minorEastAsia" w:cstheme="minorBidi"/>
          <w:color w:val="000000"/>
          <w:position w:val="0"/>
          <w:sz w:val="24"/>
          <w:u w:val="none"/>
          <w:shd w:val="clear" w:fill="FFFFFF"/>
          <w:vertAlign w:val="baseline"/>
          <w:lang w:val="sr-Cyrl-RS"/>
        </w:rPr>
        <w:t>Лешњак</w:t>
      </w:r>
      <w:r>
        <w:rPr>
          <w:rFonts w:hint="default" w:eastAsiaTheme="minorEastAsia" w:cstheme="minorBidi"/>
          <w:color w:val="000000"/>
          <w:position w:val="0"/>
          <w:sz w:val="24"/>
          <w:u w:val="none"/>
          <w:shd w:val="clear" w:fill="FFFFFF"/>
          <w:vertAlign w:val="baseline"/>
          <w:lang w:val="sr-Cyrl-RS"/>
        </w:rPr>
        <w:t xml:space="preserve"> </w:t>
      </w:r>
      <w:r>
        <w:rPr>
          <w:rFonts w:eastAsiaTheme="minorEastAsia" w:cstheme="minorBidi"/>
          <w:color w:val="000000"/>
          <w:position w:val="0"/>
          <w:sz w:val="24"/>
          <w:u w:val="none"/>
          <w:shd w:val="clear" w:fill="FFFFFF"/>
          <w:vertAlign w:val="baseline"/>
          <w:lang w:val="zh-CN"/>
        </w:rPr>
        <w:t>Милетић</w:t>
      </w:r>
      <w:r>
        <w:rPr>
          <w:sz w:val="24"/>
        </w:rPr>
        <w:t xml:space="preserve">, распоређена на радном месту самостални саветник помаже </w:t>
      </w:r>
      <w:r>
        <w:rPr>
          <w:sz w:val="24"/>
          <w:lang w:val="sr-Cyrl-RS"/>
        </w:rPr>
        <w:t>главном</w:t>
      </w:r>
      <w:r>
        <w:rPr>
          <w:rFonts w:hint="default"/>
          <w:sz w:val="24"/>
          <w:lang w:val="sr-Cyrl-RS"/>
        </w:rPr>
        <w:t xml:space="preserve"> </w:t>
      </w:r>
      <w:r>
        <w:rPr>
          <w:sz w:val="24"/>
        </w:rPr>
        <w:t xml:space="preserve">јавном тужиоцу и </w:t>
      </w:r>
      <w:r>
        <w:rPr>
          <w:sz w:val="24"/>
          <w:lang w:val="sr-Cyrl-RS"/>
        </w:rPr>
        <w:t>јавном</w:t>
      </w:r>
      <w:r>
        <w:rPr>
          <w:sz w:val="24"/>
        </w:rPr>
        <w:t xml:space="preserve"> тужиоца у раду, прати судску праксу, израђује тужилачке акте, узима на записник кривичне пријаве, поднеске и изјаве грађана, врши под надзором и упутствима јавног тужиоца, односно заменика јавног тужиоца послове предвиђене законом и другим прописима</w:t>
      </w:r>
      <w:r>
        <w:rPr>
          <w:sz w:val="24"/>
          <w:lang w:val="zh-CN"/>
        </w:rPr>
        <w:t>.</w:t>
      </w:r>
    </w:p>
    <w:p>
      <w:pPr>
        <w:numPr>
          <w:ilvl w:val="0"/>
          <w:numId w:val="0"/>
        </w:numPr>
        <w:bidi w:val="0"/>
        <w:ind w:left="0" w:right="0" w:firstLine="720"/>
        <w:jc w:val="both"/>
        <w:outlineLvl w:val="4"/>
        <w:rPr>
          <w:sz w:val="24"/>
          <w:lang w:val="zh-CN"/>
        </w:rPr>
      </w:pPr>
    </w:p>
    <w:p>
      <w:pPr>
        <w:pStyle w:val="9"/>
        <w:keepNext w:val="0"/>
        <w:keepLines w:val="0"/>
        <w:widowControl/>
        <w:suppressLineNumbers w:val="0"/>
        <w:spacing w:before="0" w:beforeAutospacing="0" w:after="150" w:afterAutospacing="0"/>
        <w:ind w:left="0" w:right="0" w:firstLine="720" w:firstLineChars="0"/>
        <w:jc w:val="both"/>
        <w:rPr>
          <w:rFonts w:hint="default"/>
          <w:sz w:val="24"/>
          <w:lang w:val="sr-Cyrl-RS"/>
        </w:rPr>
      </w:pPr>
      <w:r>
        <w:rPr>
          <w:sz w:val="24"/>
          <w:lang w:val="sr-Cyrl-RS"/>
        </w:rPr>
        <w:t>Јавнотужилачки</w:t>
      </w:r>
      <w:r>
        <w:rPr>
          <w:rFonts w:hint="default"/>
          <w:sz w:val="24"/>
          <w:lang w:val="sr-Cyrl-RS"/>
        </w:rPr>
        <w:t xml:space="preserve"> сарадник Немања Каличанин запослен на одређено време због повећаног обима посла на основу сагласности Министарства правде бр.бр.</w:t>
      </w:r>
      <w:r>
        <w:rPr>
          <w:rFonts w:hint="default"/>
          <w:sz w:val="24"/>
          <w:lang w:val="en-US"/>
        </w:rPr>
        <w:t>112-01-1538/2022-03</w:t>
      </w:r>
      <w:r>
        <w:rPr>
          <w:rFonts w:hint="default"/>
          <w:sz w:val="24"/>
          <w:lang w:val="sr-Cyrl-RS"/>
        </w:rPr>
        <w:t xml:space="preserve"> од </w:t>
      </w:r>
      <w:r>
        <w:rPr>
          <w:rFonts w:hint="default"/>
          <w:sz w:val="24"/>
          <w:lang w:val="en-US"/>
        </w:rPr>
        <w:t>1</w:t>
      </w:r>
      <w:r>
        <w:rPr>
          <w:rFonts w:hint="default"/>
          <w:sz w:val="24"/>
          <w:lang w:val="sr-Cyrl-RS"/>
        </w:rPr>
        <w:t>6.</w:t>
      </w:r>
      <w:r>
        <w:rPr>
          <w:rFonts w:hint="default"/>
          <w:sz w:val="24"/>
          <w:lang w:val="en-US"/>
        </w:rPr>
        <w:t>09</w:t>
      </w:r>
      <w:r>
        <w:rPr>
          <w:rFonts w:hint="default"/>
          <w:sz w:val="24"/>
          <w:lang w:val="sr-Cyrl-RS"/>
        </w:rPr>
        <w:t>.202</w:t>
      </w:r>
      <w:r>
        <w:rPr>
          <w:rFonts w:hint="default"/>
          <w:sz w:val="24"/>
          <w:lang w:val="en-US"/>
        </w:rPr>
        <w:t>2</w:t>
      </w:r>
      <w:r>
        <w:rPr>
          <w:rFonts w:hint="default"/>
          <w:sz w:val="24"/>
          <w:lang w:val="sr-Cyrl-RS"/>
        </w:rPr>
        <w:t xml:space="preserve">.године, помаже главном јавном тужиоцу и основном јавном да израђује нацрте акта, прима на записник пријаве, поднеске, изјаве грађана и самостално или под надзором врши послове предвиђене законом и другим прописима.  </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 xml:space="preserve">У писарници се обављају административни послови, врши експедовање поште, пријем писмена и дактилографски послови у вези са радом и потребама Јавног тужилаштва.  </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Уписничар Мирјана Миленковић – референт, води уписнике, евидентира кретање предмета, обележава номенклатурне знаке на попису списа, уводи и разводи предмете у уписнику, води регистар уписника, сређује и архивира завршене предмете, саставља статистичке прегледе по уписницима и попуњава статистичке упитнике, води одговарајуће доставне књиге и књиге експедиције, обавља и друге послове по налогу управитеља писарнице.</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Уписничар </w:t>
      </w:r>
      <w:r>
        <w:rPr>
          <w:sz w:val="24"/>
          <w:lang w:val="sr-Cyrl-RS"/>
        </w:rPr>
        <w:t>Тања</w:t>
      </w:r>
      <w:r>
        <w:rPr>
          <w:rFonts w:hint="default"/>
          <w:sz w:val="24"/>
          <w:lang w:val="sr-Cyrl-RS"/>
        </w:rPr>
        <w:t xml:space="preserve"> Ивић </w:t>
      </w:r>
      <w:r>
        <w:rPr>
          <w:sz w:val="24"/>
        </w:rPr>
        <w:t>– референт,</w:t>
      </w:r>
      <w:r>
        <w:rPr>
          <w:rFonts w:hint="default"/>
          <w:sz w:val="24"/>
          <w:lang w:val="sr-Cyrl-RS"/>
        </w:rPr>
        <w:t xml:space="preserve"> запослена на одређено време због повећаног обима посла на основу сагласности Министарства правде бр.</w:t>
      </w:r>
      <w:r>
        <w:rPr>
          <w:rFonts w:hint="default"/>
          <w:sz w:val="24"/>
          <w:lang w:val="en-US"/>
        </w:rPr>
        <w:t>112-01-1538/2022-03</w:t>
      </w:r>
      <w:r>
        <w:rPr>
          <w:rFonts w:hint="default"/>
          <w:sz w:val="24"/>
          <w:lang w:val="sr-Cyrl-RS"/>
        </w:rPr>
        <w:t xml:space="preserve"> од </w:t>
      </w:r>
      <w:r>
        <w:rPr>
          <w:rFonts w:hint="default"/>
          <w:sz w:val="24"/>
          <w:lang w:val="en-US"/>
        </w:rPr>
        <w:t>1</w:t>
      </w:r>
      <w:r>
        <w:rPr>
          <w:rFonts w:hint="default"/>
          <w:sz w:val="24"/>
          <w:lang w:val="sr-Cyrl-RS"/>
        </w:rPr>
        <w:t>6.</w:t>
      </w:r>
      <w:r>
        <w:rPr>
          <w:rFonts w:hint="default"/>
          <w:sz w:val="24"/>
          <w:lang w:val="en-US"/>
        </w:rPr>
        <w:t>09</w:t>
      </w:r>
      <w:r>
        <w:rPr>
          <w:rFonts w:hint="default"/>
          <w:sz w:val="24"/>
          <w:lang w:val="sr-Cyrl-RS"/>
        </w:rPr>
        <w:t>.202</w:t>
      </w:r>
      <w:r>
        <w:rPr>
          <w:rFonts w:hint="default"/>
          <w:sz w:val="24"/>
          <w:lang w:val="en-US"/>
        </w:rPr>
        <w:t>2</w:t>
      </w:r>
      <w:r>
        <w:rPr>
          <w:rFonts w:hint="default"/>
          <w:sz w:val="24"/>
          <w:lang w:val="sr-Cyrl-RS"/>
        </w:rPr>
        <w:t>.године,</w:t>
      </w:r>
      <w:r>
        <w:rPr>
          <w:sz w:val="24"/>
        </w:rPr>
        <w:t xml:space="preserve"> води уписнике, евидентира кретање предмета, обележава номенклатурне знаке на попису списа, уводи и разводи предмете у уписнику, води регистар уписника, сређује и архивира завршене предмете, саставља статистичке прегледе по уписницима и попуњава статистичке упитнике, води одговарајуће доставне књиге и књиге експедиције, обавља и друге послове по налогу управитеља писарнице.</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rFonts w:hint="default"/>
          <w:sz w:val="24"/>
          <w:lang w:val="sr-Cyrl-RS"/>
        </w:rPr>
      </w:pPr>
      <w:r>
        <w:rPr>
          <w:sz w:val="24"/>
          <w:lang w:val="sr-Cyrl-RS"/>
        </w:rPr>
        <w:t>Записничар</w:t>
      </w:r>
      <w:r>
        <w:rPr>
          <w:rFonts w:hint="default"/>
          <w:sz w:val="24"/>
          <w:lang w:val="sr-Cyrl-RS"/>
        </w:rPr>
        <w:t xml:space="preserve"> Иван Ђоровић - референт обавља све дактилографске послове  у предметима додељеним у рад тужиоцу односно заменику тужиоца код кога је распоређен, пише записнике, </w:t>
      </w:r>
      <w:r>
        <w:rPr>
          <w:sz w:val="24"/>
        </w:rPr>
        <w:t>врш</w:t>
      </w:r>
      <w:r>
        <w:rPr>
          <w:sz w:val="24"/>
          <w:lang w:val="sr-Cyrl-RS"/>
        </w:rPr>
        <w:t>и</w:t>
      </w:r>
      <w:r>
        <w:rPr>
          <w:sz w:val="24"/>
        </w:rPr>
        <w:t xml:space="preserve"> препис текстова и рукописа и израђује све врсте табела у сарадњи са корисницима услуга, коригује унете податке, стара се о савременом обликовању текста, припрема и штампа завршене материјале и дистрибуира их корисницима услуга, старају се о чувању и преносу података, доступности материјала, исправности биротехничке опреме и рационалном коришћењу канцеларијског и другог потрошног материјала, вод</w:t>
      </w:r>
      <w:r>
        <w:rPr>
          <w:sz w:val="24"/>
          <w:lang w:val="sr-Cyrl-RS"/>
        </w:rPr>
        <w:t>и</w:t>
      </w:r>
      <w:r>
        <w:rPr>
          <w:sz w:val="24"/>
        </w:rPr>
        <w:t xml:space="preserve"> уписник за евиденцију штампаних ствари и публикација, воде евиденцију о свом раду, раде и друге послове по налогу јавног тужиоца</w:t>
      </w:r>
      <w:r>
        <w:rPr>
          <w:rFonts w:hint="default"/>
          <w:sz w:val="24"/>
          <w:lang w:val="sr-Cyrl-RS"/>
        </w:rPr>
        <w:t>.</w:t>
      </w:r>
    </w:p>
    <w:p>
      <w:pPr>
        <w:numPr>
          <w:ilvl w:val="0"/>
          <w:numId w:val="0"/>
        </w:numPr>
        <w:bidi w:val="0"/>
        <w:ind w:left="0" w:right="0" w:firstLine="720"/>
        <w:jc w:val="both"/>
        <w:outlineLvl w:val="4"/>
        <w:rPr>
          <w:rFonts w:hint="default"/>
          <w:sz w:val="24"/>
          <w:lang w:val="sr-Cyrl-RS"/>
        </w:rPr>
      </w:pPr>
    </w:p>
    <w:p>
      <w:pPr>
        <w:numPr>
          <w:ilvl w:val="0"/>
          <w:numId w:val="0"/>
        </w:numPr>
        <w:bidi w:val="0"/>
        <w:ind w:left="0" w:right="0" w:firstLine="720"/>
        <w:jc w:val="both"/>
        <w:outlineLvl w:val="4"/>
        <w:rPr>
          <w:rFonts w:hint="default"/>
          <w:sz w:val="24"/>
          <w:lang w:val="sr-Cyrl-RS"/>
        </w:rPr>
      </w:pPr>
      <w:r>
        <w:rPr>
          <w:rFonts w:hint="default"/>
          <w:sz w:val="24"/>
          <w:lang w:val="sr-Cyrl-RS"/>
        </w:rPr>
        <w:t>Достављач Младен Милијановић - намештеник, разноси пошту, предмете и друге поднеске у тужилаштву и ван тужилаштва  другим органима и организацијама, установама и грађанима, доноси пошту упућену јавном тужилаштву преко поштанског фаха, фотокопира материјале за тужилаштво, обавља и друге послове по налогу непосредно надређеног.</w:t>
      </w:r>
    </w:p>
    <w:p>
      <w:pPr>
        <w:numPr>
          <w:ilvl w:val="0"/>
          <w:numId w:val="0"/>
        </w:numPr>
        <w:bidi w:val="0"/>
        <w:ind w:left="0" w:right="0" w:firstLine="720"/>
        <w:jc w:val="both"/>
        <w:outlineLvl w:val="4"/>
        <w:rPr>
          <w:rFonts w:hint="default"/>
          <w:sz w:val="24"/>
          <w:lang w:val="sr-Cyrl-RS"/>
        </w:rPr>
      </w:pPr>
    </w:p>
    <w:p>
      <w:pPr>
        <w:numPr>
          <w:ilvl w:val="0"/>
          <w:numId w:val="0"/>
        </w:numPr>
        <w:bidi w:val="0"/>
        <w:ind w:left="0" w:right="0" w:firstLine="720"/>
        <w:jc w:val="both"/>
        <w:outlineLvl w:val="4"/>
        <w:rPr>
          <w:sz w:val="24"/>
        </w:rPr>
      </w:pPr>
      <w:r>
        <w:rPr>
          <w:sz w:val="24"/>
        </w:rPr>
        <w:t xml:space="preserve">Дактилограф </w:t>
      </w:r>
      <w:r>
        <w:rPr>
          <w:sz w:val="24"/>
          <w:lang w:val="sr-Cyrl-RS"/>
        </w:rPr>
        <w:t>Воислав</w:t>
      </w:r>
      <w:r>
        <w:rPr>
          <w:rFonts w:hint="default"/>
          <w:sz w:val="24"/>
          <w:lang w:val="sr-Cyrl-RS"/>
        </w:rPr>
        <w:t xml:space="preserve"> Ристић</w:t>
      </w:r>
      <w:r>
        <w:rPr>
          <w:sz w:val="24"/>
        </w:rPr>
        <w:t xml:space="preserve"> - намештени</w:t>
      </w:r>
      <w:r>
        <w:rPr>
          <w:sz w:val="24"/>
          <w:lang w:val="sr-Cyrl-RS"/>
        </w:rPr>
        <w:t>к</w:t>
      </w:r>
      <w:r>
        <w:rPr>
          <w:rFonts w:hint="default"/>
          <w:sz w:val="24"/>
          <w:lang w:val="sr-Cyrl-RS"/>
        </w:rPr>
        <w:t>, запослен на одређено време због повећаног обима посла на основу сагласности Министарства правде бр.112-01-</w:t>
      </w:r>
      <w:r>
        <w:rPr>
          <w:rFonts w:hint="default"/>
          <w:sz w:val="24"/>
          <w:lang w:val="en-US"/>
        </w:rPr>
        <w:t>1907</w:t>
      </w:r>
      <w:r>
        <w:rPr>
          <w:rFonts w:hint="default"/>
          <w:sz w:val="24"/>
          <w:lang w:val="sr-Cyrl-RS"/>
        </w:rPr>
        <w:t>/202</w:t>
      </w:r>
      <w:r>
        <w:rPr>
          <w:rFonts w:hint="default"/>
          <w:sz w:val="24"/>
          <w:lang w:val="en-US"/>
        </w:rPr>
        <w:t>2</w:t>
      </w:r>
      <w:r>
        <w:rPr>
          <w:rFonts w:hint="default"/>
          <w:sz w:val="24"/>
          <w:lang w:val="sr-Cyrl-RS"/>
        </w:rPr>
        <w:t>-03 од 2</w:t>
      </w:r>
      <w:r>
        <w:rPr>
          <w:rFonts w:hint="default"/>
          <w:sz w:val="24"/>
          <w:lang w:val="en-US"/>
        </w:rPr>
        <w:t>3</w:t>
      </w:r>
      <w:r>
        <w:rPr>
          <w:rFonts w:hint="default"/>
          <w:sz w:val="24"/>
          <w:lang w:val="sr-Cyrl-RS"/>
        </w:rPr>
        <w:t>.11.202</w:t>
      </w:r>
      <w:r>
        <w:rPr>
          <w:rFonts w:hint="default"/>
          <w:sz w:val="24"/>
          <w:lang w:val="en-US"/>
        </w:rPr>
        <w:t>2</w:t>
      </w:r>
      <w:r>
        <w:rPr>
          <w:rFonts w:hint="default"/>
          <w:sz w:val="24"/>
          <w:lang w:val="sr-Cyrl-RS"/>
        </w:rPr>
        <w:t>.године</w:t>
      </w:r>
      <w:r>
        <w:rPr>
          <w:sz w:val="24"/>
        </w:rPr>
        <w:t xml:space="preserve"> обавља све дактилографске послове у предметима додељеним у рад јавном тужиоцу, пиш</w:t>
      </w:r>
      <w:r>
        <w:rPr>
          <w:sz w:val="24"/>
          <w:lang w:val="sr-Cyrl-RS"/>
        </w:rPr>
        <w:t>е</w:t>
      </w:r>
      <w:r>
        <w:rPr>
          <w:sz w:val="24"/>
        </w:rPr>
        <w:t xml:space="preserve"> записнике, врш</w:t>
      </w:r>
      <w:r>
        <w:rPr>
          <w:sz w:val="24"/>
          <w:lang w:val="sr-Cyrl-RS"/>
        </w:rPr>
        <w:t>и</w:t>
      </w:r>
      <w:r>
        <w:rPr>
          <w:sz w:val="24"/>
        </w:rPr>
        <w:t xml:space="preserve"> унос текстова по диктату и са диктафонских трака, врш</w:t>
      </w:r>
      <w:r>
        <w:rPr>
          <w:sz w:val="24"/>
          <w:lang w:val="sr-Cyrl-RS"/>
        </w:rPr>
        <w:t>и</w:t>
      </w:r>
      <w:r>
        <w:rPr>
          <w:sz w:val="24"/>
        </w:rPr>
        <w:t xml:space="preserve"> препис текстова и рукописа и израђује све врсте табела у сарадњи са корисницима услуга, коригује унете податке, стара се о савременом обликовању текста, припрема и штампају завршене материјале и дистрибуира их корисницима услуга, стара се о чувању и преносу података, доступности материјала, исправности биротехничке опреме и рационалном коришћењу канцеларијског и другог потрошног материјала, вод</w:t>
      </w:r>
      <w:r>
        <w:rPr>
          <w:sz w:val="24"/>
          <w:lang w:val="sr-Cyrl-RS"/>
        </w:rPr>
        <w:t>и</w:t>
      </w:r>
      <w:r>
        <w:rPr>
          <w:sz w:val="24"/>
        </w:rPr>
        <w:t xml:space="preserve"> уписник за евиденцију штампаних ствари и публикација, вод</w:t>
      </w:r>
      <w:r>
        <w:rPr>
          <w:sz w:val="24"/>
          <w:lang w:val="sr-Cyrl-RS"/>
        </w:rPr>
        <w:t>и</w:t>
      </w:r>
      <w:r>
        <w:rPr>
          <w:sz w:val="24"/>
        </w:rPr>
        <w:t xml:space="preserve"> евиденцију о свом раду, рад</w:t>
      </w:r>
      <w:r>
        <w:rPr>
          <w:sz w:val="24"/>
          <w:lang w:val="sr-Cyrl-RS"/>
        </w:rPr>
        <w:t>и</w:t>
      </w:r>
      <w:r>
        <w:rPr>
          <w:sz w:val="24"/>
        </w:rPr>
        <w:t xml:space="preserve"> и друге послове по налогу јавног тужиоца.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rFonts w:hint="default"/>
          <w:sz w:val="24"/>
          <w:lang w:val="sr-Latn-RS"/>
        </w:rPr>
      </w:pPr>
      <w:r>
        <w:rPr>
          <w:sz w:val="24"/>
        </w:rPr>
        <w:t>Рачуноводство врши послове из области финансијско-рачуноводственог пословања, као и послове набавке, вођења и чувања финансијске документације, економата и депозита, у складу са постојећим прописима, а које послове обавља Тања Хинић, запослена у ОЈТ у Прокупљу.</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Самостални извршилац за финансијско пословање oрганизује целокупно материјално-финансијско пословање у Тужилаштву, ради на буџетским и ванбуџетским пословима, израђује предлоге предрачуна наменских средстава, саставља Годишњи обрачун (завршни рачун), саставља финансијски план, периодични обрачун и периодичне извештаје, води књиговодствену евиденцију о редовној делатности, посебним наменама и фондовима, саставља извештаје о материјално-финансијском пословању, стара се о правилном обрачуну плата, вођењу послова по жиро-рачуну, обезбеђује законитост рада рачуноводства, води прописане књиге фактура, уплате обавеза према добављачима, води буџетско књиговодство, основна средства, обрачунава амортизацију и ревалоризацију, стара се о благовременом обезбеђењу потребних средстава за текуће послове тужилаштва, стара се о благовременој исплати накнада и награда судским вештцима и браниоцима по службеној дужности, даје обавештења странкама, одговара за рад Рачуноводства у целини по свим законским и другим прописима, обавља финансијско планирање кроз систем БПМИС, извештај за регистар запослених, укључење у систем извршења буџета и управљања финансијама – ФМИС, врши обрачун и исплату плата и осталих примања запослених, води и контролише обуставе запослених, даје податке о примању запослених и издаје потврде запосленима у тужилаштву, саставља извештај о платама и другим примањима, оверава податке за кредите, подноси пореске пријаве у вези обрачуна зарада, путних трошкова, исплата дневница, јубиларних награда, отпремнине, социјалне помоћи и других накнада, доставља образац М4, саставља благајнички извештај, обрачун и исплату из средстава тужилаштва – пријављивање пореза и доприноса, вођење рачуна депозита странака – аналитике, исплата вештака, пријава пореза и доприноса и достављање МУН образаца, врши на основу писмене наредбе јавног тужиоца или његовог заменика пријем у депозит и чува у каси тужилаштва или на другом депозитном месту готов новац, стране валуте, штедне динарске и девизне књижице, вредносне папире или драгоцености које се користе у предистражном или истражном поступку као доказ, издаје потврде о преузимању запечаћеног омота са драгоценостима и обавља и друге послове по налогу тужиоца. </w:t>
      </w:r>
    </w:p>
    <w:p>
      <w:pPr>
        <w:numPr>
          <w:ilvl w:val="0"/>
          <w:numId w:val="0"/>
        </w:numPr>
        <w:bidi w:val="0"/>
        <w:ind w:left="720" w:right="0" w:firstLine="0"/>
        <w:jc w:val="both"/>
        <w:outlineLvl w:val="4"/>
        <w:rPr>
          <w:sz w:val="24"/>
        </w:rPr>
      </w:pPr>
    </w:p>
    <w:p>
      <w:pPr>
        <w:numPr>
          <w:ilvl w:val="0"/>
          <w:numId w:val="0"/>
        </w:numPr>
        <w:bidi w:val="0"/>
        <w:ind w:left="0" w:right="0" w:firstLine="720"/>
        <w:jc w:val="both"/>
        <w:outlineLvl w:val="4"/>
        <w:rPr>
          <w:sz w:val="24"/>
        </w:rPr>
      </w:pPr>
      <w:r>
        <w:rPr>
          <w:sz w:val="24"/>
        </w:rPr>
        <w:t>Послове возача службеног возила и доставе службене поште обавља достављач</w:t>
      </w:r>
      <w:r>
        <w:rPr>
          <w:rFonts w:hint="default"/>
          <w:sz w:val="24"/>
          <w:lang w:val="sr-Cyrl-RS"/>
        </w:rPr>
        <w:t xml:space="preserve"> Милијановић Младен</w:t>
      </w:r>
      <w:r>
        <w:rPr>
          <w:sz w:val="24"/>
        </w:rPr>
        <w:t xml:space="preserve"> </w:t>
      </w:r>
      <w:r>
        <w:rPr>
          <w:rFonts w:hint="default"/>
          <w:sz w:val="24"/>
          <w:lang w:val="sr-Cyrl-RS"/>
        </w:rPr>
        <w:t xml:space="preserve"> који</w:t>
      </w:r>
      <w:r>
        <w:commentReference w:id="0"/>
      </w:r>
      <w:r>
        <w:rPr>
          <w:sz w:val="24"/>
        </w:rPr>
        <w:t xml:space="preserve"> обавља послове превоза за потребе Тужилаштва, стара се о чистоћи возила, чувању и његовом редовном сервисирању, води евиденцију километраже, горива, мазива и осталу потребну евиденцију по путним налозима, евидентира кварове или уочене недостатке на возилу и предузима мере за њихово отклањање, отклања ситне кварове на возилу, доставља и разноси пошту, предмете и друге поднеске у тужилаштву и ван тужилаштва другим органима, организацијама, установама и грађанима, доноси пошту упућену јавном тужилаштву преко поштанског фаха, фотокопира материјале за тужилаштво, обавља и друге послове по налогу непосредно надређеног.</w:t>
      </w:r>
    </w:p>
    <w:p>
      <w:pPr>
        <w:numPr>
          <w:ilvl w:val="0"/>
          <w:numId w:val="0"/>
        </w:numPr>
        <w:bidi w:val="0"/>
        <w:ind w:left="0" w:right="0" w:firstLine="720"/>
        <w:jc w:val="both"/>
        <w:outlineLvl w:val="4"/>
        <w:rPr>
          <w:sz w:val="24"/>
        </w:rPr>
      </w:pPr>
    </w:p>
    <w:p>
      <w:pPr>
        <w:numPr>
          <w:ilvl w:val="0"/>
          <w:numId w:val="0"/>
        </w:numPr>
        <w:bidi w:val="0"/>
        <w:ind w:left="0" w:right="0" w:firstLine="0"/>
        <w:jc w:val="both"/>
        <w:outlineLvl w:val="4"/>
        <w:rPr>
          <w:sz w:val="24"/>
        </w:rPr>
      </w:pPr>
      <w:r>
        <w:rPr>
          <w:sz w:val="24"/>
        </w:rPr>
        <w:tab/>
      </w:r>
      <w:r>
        <w:rPr>
          <w:sz w:val="24"/>
        </w:rPr>
        <w:t xml:space="preserve">Спремачица Ивковић Драгана, запослена у ОЈТ у Прокупљу чисти све главне и помоћне просторије Основног јавног тужилаштва у </w:t>
      </w:r>
      <w:r>
        <w:rPr>
          <w:color w:val="000000"/>
          <w:sz w:val="24"/>
        </w:rPr>
        <w:t>Куршумлији, а које послове обавља четвртком</w:t>
      </w:r>
      <w:r>
        <w:rPr>
          <w:sz w:val="24"/>
        </w:rPr>
        <w:t xml:space="preserve"> и обавља друге послове по налогу тужиоца. </w:t>
      </w: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center"/>
        <w:outlineLvl w:val="4"/>
        <w:rPr>
          <w:sz w:val="24"/>
        </w:rPr>
      </w:pPr>
      <w:r>
        <w:rPr>
          <w:sz w:val="24"/>
        </w:rPr>
        <w:t xml:space="preserve">ШЕМАТСКИ ПРИКАЗ ОРГАНИЗАЦИОНЕ СТРУКТУРЕ </w:t>
      </w:r>
    </w:p>
    <w:p>
      <w:pPr>
        <w:numPr>
          <w:ilvl w:val="0"/>
          <w:numId w:val="0"/>
        </w:numPr>
        <w:bidi w:val="0"/>
        <w:ind w:left="0" w:right="0" w:firstLine="0"/>
        <w:jc w:val="center"/>
        <w:outlineLvl w:val="4"/>
        <w:rPr>
          <w:sz w:val="24"/>
        </w:rPr>
      </w:pPr>
      <w:r>
        <w:rPr>
          <w:sz w:val="24"/>
        </w:rPr>
        <w:t xml:space="preserve">ОСНОВНОГ ЈАВНОГ ТУЖИЛАШТВА У </w:t>
      </w:r>
      <w:r>
        <w:rPr>
          <w:color w:val="000000"/>
          <w:sz w:val="24"/>
        </w:rPr>
        <w:t>КУРШУМЛИЈИ</w:t>
      </w: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tbl>
      <w:tblPr>
        <w:tblStyle w:val="11"/>
        <w:tblW w:w="3920" w:type="dxa"/>
        <w:tblInd w:w="2664" w:type="dxa"/>
        <w:tblBorders>
          <w:top w:val="double" w:color="000001" w:sz="4" w:space="0"/>
          <w:left w:val="double" w:color="000001" w:sz="4" w:space="0"/>
          <w:bottom w:val="double" w:color="000001" w:sz="4" w:space="0"/>
          <w:right w:val="double" w:color="000001" w:sz="4" w:space="0"/>
          <w:insideH w:val="double" w:color="000001" w:sz="4" w:space="0"/>
          <w:insideV w:val="double" w:color="000001" w:sz="4" w:space="0"/>
        </w:tblBorders>
        <w:tblLayout w:type="autofit"/>
        <w:tblCellMar>
          <w:top w:w="0" w:type="dxa"/>
          <w:left w:w="48" w:type="dxa"/>
          <w:bottom w:w="0" w:type="dxa"/>
          <w:right w:w="108" w:type="dxa"/>
        </w:tblCellMar>
      </w:tblPr>
      <w:tblGrid>
        <w:gridCol w:w="3920"/>
      </w:tblGrid>
      <w:tr>
        <w:tblPrEx>
          <w:tblBorders>
            <w:top w:val="double" w:color="000001" w:sz="4" w:space="0"/>
            <w:left w:val="double" w:color="000001" w:sz="4" w:space="0"/>
            <w:bottom w:val="double" w:color="000001" w:sz="4" w:space="0"/>
            <w:right w:val="double" w:color="000001" w:sz="4" w:space="0"/>
            <w:insideH w:val="double" w:color="000001" w:sz="4" w:space="0"/>
            <w:insideV w:val="double" w:color="000001" w:sz="4" w:space="0"/>
          </w:tblBorders>
        </w:tblPrEx>
        <w:trPr>
          <w:trHeight w:val="814" w:hRule="atLeast"/>
        </w:trPr>
        <w:tc>
          <w:tcPr>
            <w:tcW w:w="3920" w:type="dxa"/>
            <w:tcBorders>
              <w:top w:val="double" w:color="000001" w:sz="4" w:space="0"/>
              <w:left w:val="double" w:color="000001" w:sz="4" w:space="0"/>
              <w:bottom w:val="double" w:color="000001" w:sz="4" w:space="0"/>
              <w:right w:val="double" w:color="000001" w:sz="4" w:space="0"/>
              <w:insideH w:val="double" w:sz="4" w:space="0"/>
              <w:insideV w:val="double" w:sz="4" w:space="0"/>
            </w:tcBorders>
            <w:shd w:val="clear" w:color="auto" w:fill="auto"/>
            <w:tcMar>
              <w:left w:w="48" w:type="dxa"/>
            </w:tcMar>
          </w:tcPr>
          <w:p>
            <w:pPr>
              <w:numPr>
                <w:ilvl w:val="0"/>
                <w:numId w:val="0"/>
              </w:numPr>
              <w:bidi w:val="0"/>
              <w:ind w:left="0" w:right="0" w:firstLine="0"/>
              <w:jc w:val="center"/>
              <w:outlineLvl w:val="4"/>
              <w:rPr>
                <w:sz w:val="24"/>
              </w:rPr>
            </w:pPr>
          </w:p>
          <w:p>
            <w:pPr>
              <w:numPr>
                <w:ilvl w:val="0"/>
                <w:numId w:val="0"/>
              </w:numPr>
              <w:bidi w:val="0"/>
              <w:ind w:left="0" w:right="0" w:firstLine="0"/>
              <w:jc w:val="center"/>
              <w:outlineLvl w:val="4"/>
              <w:rPr>
                <w:sz w:val="24"/>
              </w:rPr>
            </w:pPr>
            <w:r>
              <w:rPr>
                <w:sz w:val="24"/>
                <w:lang w:val="sr-Cyrl-RS"/>
              </w:rPr>
              <w:t>ГЛАВНИ</w:t>
            </w:r>
            <w:r>
              <w:rPr>
                <w:rFonts w:hint="default"/>
                <w:sz w:val="24"/>
                <w:lang w:val="sr-Cyrl-RS"/>
              </w:rPr>
              <w:t xml:space="preserve"> </w:t>
            </w:r>
            <w:r>
              <w:rPr>
                <w:sz w:val="24"/>
              </w:rPr>
              <w:t xml:space="preserve"> ЈАВНИ ТУЖИЛАЦ</w:t>
            </w:r>
          </w:p>
        </w:tc>
      </w:tr>
    </w:tbl>
    <w:p>
      <w:pPr>
        <w:numPr>
          <w:ilvl w:val="0"/>
          <w:numId w:val="0"/>
        </w:numPr>
        <w:bidi w:val="0"/>
        <w:ind w:left="0" w:right="0" w:firstLine="0"/>
        <w:jc w:val="both"/>
        <w:outlineLvl w:val="4"/>
        <w:rPr>
          <w:sz w:val="24"/>
        </w:rPr>
      </w:pPr>
    </w:p>
    <w:p>
      <w:pPr>
        <w:numPr>
          <w:ilvl w:val="0"/>
          <w:numId w:val="0"/>
        </w:numPr>
        <w:bidi w:val="0"/>
        <w:ind w:left="0" w:right="0" w:firstLine="0"/>
        <w:jc w:val="center"/>
        <w:outlineLvl w:val="4"/>
        <w:rPr>
          <w:sz w:val="24"/>
        </w:rPr>
      </w:pPr>
    </w:p>
    <w:tbl>
      <w:tblPr>
        <w:tblStyle w:val="11"/>
        <w:tblW w:w="3920" w:type="dxa"/>
        <w:tblInd w:w="2664" w:type="dxa"/>
        <w:tblBorders>
          <w:top w:val="double" w:color="000001" w:sz="4" w:space="0"/>
          <w:left w:val="double" w:color="000001" w:sz="4" w:space="0"/>
          <w:bottom w:val="double" w:color="000001" w:sz="4" w:space="0"/>
          <w:right w:val="double" w:color="000001" w:sz="4" w:space="0"/>
          <w:insideH w:val="double" w:color="000001" w:sz="4" w:space="0"/>
          <w:insideV w:val="double" w:color="000001" w:sz="4" w:space="0"/>
        </w:tblBorders>
        <w:tblLayout w:type="autofit"/>
        <w:tblCellMar>
          <w:top w:w="0" w:type="dxa"/>
          <w:left w:w="48" w:type="dxa"/>
          <w:bottom w:w="0" w:type="dxa"/>
          <w:right w:w="108" w:type="dxa"/>
        </w:tblCellMar>
      </w:tblPr>
      <w:tblGrid>
        <w:gridCol w:w="3920"/>
      </w:tblGrid>
      <w:tr>
        <w:tblPrEx>
          <w:tblBorders>
            <w:top w:val="double" w:color="000001" w:sz="4" w:space="0"/>
            <w:left w:val="double" w:color="000001" w:sz="4" w:space="0"/>
            <w:bottom w:val="double" w:color="000001" w:sz="4" w:space="0"/>
            <w:right w:val="double" w:color="000001" w:sz="4" w:space="0"/>
            <w:insideH w:val="double" w:color="000001" w:sz="4" w:space="0"/>
            <w:insideV w:val="double" w:color="000001" w:sz="4" w:space="0"/>
          </w:tblBorders>
          <w:tblCellMar>
            <w:top w:w="0" w:type="dxa"/>
            <w:left w:w="48" w:type="dxa"/>
            <w:bottom w:w="0" w:type="dxa"/>
            <w:right w:w="108" w:type="dxa"/>
          </w:tblCellMar>
        </w:tblPrEx>
        <w:trPr>
          <w:trHeight w:val="1067" w:hRule="atLeast"/>
        </w:trPr>
        <w:tc>
          <w:tcPr>
            <w:tcW w:w="3920" w:type="dxa"/>
            <w:tcBorders>
              <w:top w:val="double" w:color="000001" w:sz="4" w:space="0"/>
              <w:left w:val="double" w:color="000001" w:sz="4" w:space="0"/>
              <w:bottom w:val="double" w:color="000001" w:sz="4" w:space="0"/>
              <w:right w:val="double" w:color="000001" w:sz="4" w:space="0"/>
              <w:insideH w:val="double" w:sz="4" w:space="0"/>
              <w:insideV w:val="double" w:sz="4" w:space="0"/>
            </w:tcBorders>
            <w:shd w:val="clear" w:color="auto" w:fill="auto"/>
            <w:tcMar>
              <w:left w:w="48" w:type="dxa"/>
            </w:tcMar>
          </w:tcPr>
          <w:p>
            <w:pPr>
              <w:numPr>
                <w:ilvl w:val="0"/>
                <w:numId w:val="0"/>
              </w:numPr>
              <w:bidi w:val="0"/>
              <w:ind w:left="0" w:right="0" w:firstLine="0"/>
              <w:jc w:val="center"/>
              <w:outlineLvl w:val="4"/>
              <w:rPr>
                <w:sz w:val="24"/>
              </w:rPr>
            </w:pPr>
          </w:p>
          <w:p>
            <w:pPr>
              <w:numPr>
                <w:ilvl w:val="0"/>
                <w:numId w:val="0"/>
              </w:numPr>
              <w:bidi w:val="0"/>
              <w:ind w:left="0" w:right="0" w:firstLine="0"/>
              <w:jc w:val="center"/>
              <w:outlineLvl w:val="4"/>
              <w:rPr>
                <w:rFonts w:hint="default"/>
                <w:sz w:val="24"/>
                <w:lang w:val="sr-Cyrl-RS"/>
              </w:rPr>
            </w:pPr>
            <w:r>
              <w:rPr>
                <w:sz w:val="24"/>
                <w:lang w:val="zh-CN"/>
              </w:rPr>
              <w:t xml:space="preserve"> ОСНОВН</w:t>
            </w:r>
            <w:r>
              <w:rPr>
                <w:sz w:val="24"/>
                <w:lang w:val="sr-Cyrl-RS"/>
              </w:rPr>
              <w:t>И</w:t>
            </w:r>
            <w:r>
              <w:rPr>
                <w:sz w:val="24"/>
                <w:lang w:val="zh-CN"/>
              </w:rPr>
              <w:t xml:space="preserve"> ЈАВН</w:t>
            </w:r>
            <w:r>
              <w:rPr>
                <w:sz w:val="24"/>
                <w:lang w:val="sr-Cyrl-RS"/>
              </w:rPr>
              <w:t>И</w:t>
            </w:r>
            <w:r>
              <w:rPr>
                <w:sz w:val="24"/>
                <w:lang w:val="zh-CN"/>
              </w:rPr>
              <w:t xml:space="preserve"> ТУЖИ</w:t>
            </w:r>
            <w:r>
              <w:rPr>
                <w:sz w:val="24"/>
                <w:lang w:val="sr-Cyrl-RS"/>
              </w:rPr>
              <w:t>ЛАЦ</w:t>
            </w:r>
          </w:p>
        </w:tc>
      </w:tr>
    </w:tbl>
    <w:p>
      <w:pPr>
        <w:numPr>
          <w:ilvl w:val="0"/>
          <w:numId w:val="0"/>
        </w:numPr>
        <w:bidi w:val="0"/>
        <w:ind w:left="0" w:right="0" w:firstLine="0"/>
        <w:jc w:val="both"/>
        <w:outlineLvl w:val="4"/>
        <w:rPr>
          <w:sz w:val="24"/>
        </w:rPr>
      </w:pPr>
    </w:p>
    <w:p>
      <w:pPr>
        <w:numPr>
          <w:ilvl w:val="0"/>
          <w:numId w:val="0"/>
        </w:numPr>
        <w:bidi w:val="0"/>
        <w:ind w:left="0" w:right="0" w:firstLine="0"/>
        <w:jc w:val="center"/>
        <w:outlineLvl w:val="4"/>
        <w:rPr>
          <w:sz w:val="24"/>
        </w:rPr>
      </w:pPr>
    </w:p>
    <w:p>
      <w:pPr>
        <w:numPr>
          <w:ilvl w:val="0"/>
          <w:numId w:val="0"/>
        </w:numPr>
        <w:bidi w:val="0"/>
        <w:ind w:left="0" w:right="0" w:firstLine="0"/>
        <w:jc w:val="both"/>
        <w:outlineLvl w:val="4"/>
        <w:rPr>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28575</wp:posOffset>
                </wp:positionV>
                <wp:extent cx="4304030" cy="885190"/>
                <wp:effectExtent l="0" t="0" r="0" b="0"/>
                <wp:wrapSquare wrapText="bothSides"/>
                <wp:docPr id="2" name="Frame3"/>
                <wp:cNvGraphicFramePr/>
                <a:graphic xmlns:a="http://schemas.openxmlformats.org/drawingml/2006/main">
                  <a:graphicData uri="http://schemas.microsoft.com/office/word/2010/wordprocessingShape">
                    <wps:wsp>
                      <wps:cNvSpPr/>
                      <wps:spPr>
                        <a:xfrm>
                          <a:off x="0" y="0"/>
                          <a:ext cx="4303440" cy="884520"/>
                        </a:xfrm>
                        <a:prstGeom prst="rect">
                          <a:avLst/>
                        </a:prstGeom>
                        <a:noFill/>
                        <a:ln>
                          <a:noFill/>
                        </a:ln>
                      </wps:spPr>
                      <wps:style>
                        <a:lnRef idx="0">
                          <a:srgbClr val="FFFFFF"/>
                        </a:lnRef>
                        <a:fillRef idx="0">
                          <a:srgbClr val="FFFFFF"/>
                        </a:fillRef>
                        <a:effectRef idx="0">
                          <a:srgbClr val="FFFFFF"/>
                        </a:effectRef>
                        <a:fontRef idx="minor"/>
                      </wps:style>
                      <wps:txbx>
                        <w:txbxContent>
                          <w:tbl>
                            <w:tblPr>
                              <w:tblStyle w:val="11"/>
                              <w:tblW w:w="6775" w:type="dxa"/>
                              <w:jc w:val="center"/>
                              <w:tblBorders>
                                <w:top w:val="double" w:color="000001" w:sz="4" w:space="0"/>
                                <w:left w:val="double" w:color="000001" w:sz="4" w:space="0"/>
                                <w:bottom w:val="double" w:color="000001" w:sz="4" w:space="0"/>
                                <w:right w:val="double" w:color="000001" w:sz="4" w:space="0"/>
                                <w:insideH w:val="double" w:color="000001" w:sz="4" w:space="0"/>
                                <w:insideV w:val="double" w:color="000001" w:sz="4" w:space="0"/>
                              </w:tblBorders>
                              <w:tblLayout w:type="autofit"/>
                              <w:tblCellMar>
                                <w:top w:w="0" w:type="dxa"/>
                                <w:left w:w="48" w:type="dxa"/>
                                <w:bottom w:w="0" w:type="dxa"/>
                                <w:right w:w="108" w:type="dxa"/>
                              </w:tblCellMar>
                            </w:tblPr>
                            <w:tblGrid>
                              <w:gridCol w:w="2373"/>
                              <w:gridCol w:w="1988"/>
                              <w:gridCol w:w="2414"/>
                            </w:tblGrid>
                            <w:tr>
                              <w:tblPrEx>
                                <w:tblBorders>
                                  <w:top w:val="double" w:color="000001" w:sz="4" w:space="0"/>
                                  <w:left w:val="double" w:color="000001" w:sz="4" w:space="0"/>
                                  <w:bottom w:val="double" w:color="000001" w:sz="4" w:space="0"/>
                                  <w:right w:val="double" w:color="000001" w:sz="4" w:space="0"/>
                                  <w:insideH w:val="double" w:color="000001" w:sz="4" w:space="0"/>
                                  <w:insideV w:val="double" w:color="000001" w:sz="4" w:space="0"/>
                                </w:tblBorders>
                                <w:tblCellMar>
                                  <w:top w:w="0" w:type="dxa"/>
                                  <w:left w:w="48" w:type="dxa"/>
                                  <w:bottom w:w="0" w:type="dxa"/>
                                  <w:right w:w="108" w:type="dxa"/>
                                </w:tblCellMar>
                              </w:tblPrEx>
                              <w:trPr>
                                <w:trHeight w:val="823" w:hRule="atLeast"/>
                                <w:jc w:val="center"/>
                              </w:trPr>
                              <w:tc>
                                <w:tcPr>
                                  <w:tcW w:w="2373" w:type="dxa"/>
                                  <w:tcBorders>
                                    <w:top w:val="double" w:color="000001" w:sz="4" w:space="0"/>
                                    <w:left w:val="double" w:color="000001" w:sz="4" w:space="0"/>
                                    <w:bottom w:val="double" w:color="000001" w:sz="4" w:space="0"/>
                                    <w:right w:val="double" w:color="000001" w:sz="4" w:space="0"/>
                                    <w:insideH w:val="double" w:sz="4" w:space="0"/>
                                    <w:insideV w:val="double" w:sz="4" w:space="0"/>
                                  </w:tcBorders>
                                  <w:shd w:val="clear" w:color="auto" w:fill="auto"/>
                                  <w:tcMar>
                                    <w:left w:w="48" w:type="dxa"/>
                                  </w:tcMar>
                                </w:tcPr>
                                <w:p>
                                  <w:pPr>
                                    <w:numPr>
                                      <w:ilvl w:val="0"/>
                                      <w:numId w:val="0"/>
                                    </w:numPr>
                                    <w:bidi w:val="0"/>
                                    <w:ind w:left="141" w:right="0" w:firstLine="0"/>
                                    <w:jc w:val="center"/>
                                    <w:outlineLvl w:val="4"/>
                                    <w:rPr>
                                      <w:color w:val="00000A"/>
                                      <w:sz w:val="24"/>
                                    </w:rPr>
                                  </w:pPr>
                                </w:p>
                                <w:p>
                                  <w:pPr>
                                    <w:numPr>
                                      <w:ilvl w:val="0"/>
                                      <w:numId w:val="0"/>
                                    </w:numPr>
                                    <w:bidi w:val="0"/>
                                    <w:ind w:left="141" w:right="0" w:firstLine="0"/>
                                    <w:jc w:val="center"/>
                                    <w:outlineLvl w:val="4"/>
                                    <w:rPr>
                                      <w:color w:val="00000A"/>
                                    </w:rPr>
                                  </w:pPr>
                                  <w:r>
                                    <w:rPr>
                                      <w:color w:val="00000A"/>
                                      <w:sz w:val="24"/>
                                    </w:rPr>
                                    <w:t>Кривично одељење</w:t>
                                  </w:r>
                                </w:p>
                                <w:p>
                                  <w:pPr>
                                    <w:numPr>
                                      <w:ilvl w:val="0"/>
                                      <w:numId w:val="0"/>
                                    </w:numPr>
                                    <w:bidi w:val="0"/>
                                    <w:ind w:left="141" w:right="0" w:firstLine="0"/>
                                    <w:jc w:val="center"/>
                                    <w:outlineLvl w:val="4"/>
                                    <w:rPr>
                                      <w:color w:val="00000A"/>
                                      <w:sz w:val="24"/>
                                    </w:rPr>
                                  </w:pPr>
                                </w:p>
                              </w:tc>
                              <w:tc>
                                <w:tcPr>
                                  <w:tcW w:w="1988" w:type="dxa"/>
                                  <w:tcBorders>
                                    <w:top w:val="double" w:color="000001" w:sz="4" w:space="0"/>
                                    <w:left w:val="double" w:color="000001" w:sz="4" w:space="0"/>
                                    <w:bottom w:val="double" w:color="000001" w:sz="4" w:space="0"/>
                                    <w:right w:val="double" w:color="000001" w:sz="4" w:space="0"/>
                                    <w:insideH w:val="double" w:sz="4" w:space="0"/>
                                    <w:insideV w:val="double" w:sz="4" w:space="0"/>
                                  </w:tcBorders>
                                  <w:shd w:val="clear" w:color="auto" w:fill="auto"/>
                                  <w:tcMar>
                                    <w:left w:w="48" w:type="dxa"/>
                                  </w:tcMar>
                                </w:tcPr>
                                <w:p>
                                  <w:pPr>
                                    <w:numPr>
                                      <w:ilvl w:val="0"/>
                                      <w:numId w:val="0"/>
                                    </w:numPr>
                                    <w:bidi w:val="0"/>
                                    <w:ind w:left="0" w:right="0" w:firstLine="0"/>
                                    <w:jc w:val="center"/>
                                    <w:outlineLvl w:val="4"/>
                                    <w:rPr>
                                      <w:color w:val="00000A"/>
                                      <w:sz w:val="24"/>
                                    </w:rPr>
                                  </w:pPr>
                                </w:p>
                                <w:p>
                                  <w:pPr>
                                    <w:numPr>
                                      <w:ilvl w:val="0"/>
                                      <w:numId w:val="0"/>
                                    </w:numPr>
                                    <w:bidi w:val="0"/>
                                    <w:ind w:left="0" w:right="0" w:firstLine="0"/>
                                    <w:jc w:val="center"/>
                                    <w:outlineLvl w:val="4"/>
                                    <w:rPr>
                                      <w:color w:val="00000A"/>
                                    </w:rPr>
                                  </w:pPr>
                                  <w:r>
                                    <w:rPr>
                                      <w:color w:val="00000A"/>
                                      <w:sz w:val="24"/>
                                    </w:rPr>
                                    <w:t>Писарница</w:t>
                                  </w:r>
                                </w:p>
                                <w:p>
                                  <w:pPr>
                                    <w:numPr>
                                      <w:ilvl w:val="0"/>
                                      <w:numId w:val="0"/>
                                    </w:numPr>
                                    <w:bidi w:val="0"/>
                                    <w:ind w:left="0" w:right="0" w:firstLine="0"/>
                                    <w:jc w:val="center"/>
                                    <w:outlineLvl w:val="4"/>
                                    <w:rPr>
                                      <w:color w:val="00000A"/>
                                      <w:sz w:val="24"/>
                                    </w:rPr>
                                  </w:pPr>
                                </w:p>
                              </w:tc>
                              <w:tc>
                                <w:tcPr>
                                  <w:tcW w:w="2414" w:type="dxa"/>
                                  <w:tcBorders>
                                    <w:top w:val="double" w:color="000001" w:sz="4" w:space="0"/>
                                    <w:left w:val="double" w:color="000001" w:sz="4" w:space="0"/>
                                    <w:bottom w:val="double" w:color="000001" w:sz="4" w:space="0"/>
                                    <w:right w:val="double" w:color="000001" w:sz="4" w:space="0"/>
                                    <w:insideH w:val="double" w:sz="4" w:space="0"/>
                                    <w:insideV w:val="double" w:sz="4" w:space="0"/>
                                  </w:tcBorders>
                                  <w:shd w:val="clear" w:color="auto" w:fill="auto"/>
                                  <w:tcMar>
                                    <w:left w:w="48" w:type="dxa"/>
                                  </w:tcMar>
                                </w:tcPr>
                                <w:p>
                                  <w:pPr>
                                    <w:numPr>
                                      <w:ilvl w:val="0"/>
                                      <w:numId w:val="0"/>
                                    </w:numPr>
                                    <w:bidi w:val="0"/>
                                    <w:ind w:left="0" w:right="0" w:firstLine="0"/>
                                    <w:jc w:val="center"/>
                                    <w:outlineLvl w:val="4"/>
                                    <w:rPr>
                                      <w:color w:val="00000A"/>
                                      <w:sz w:val="24"/>
                                    </w:rPr>
                                  </w:pPr>
                                </w:p>
                                <w:p>
                                  <w:pPr>
                                    <w:numPr>
                                      <w:ilvl w:val="0"/>
                                      <w:numId w:val="0"/>
                                    </w:numPr>
                                    <w:bidi w:val="0"/>
                                    <w:ind w:left="0" w:right="0" w:firstLine="0"/>
                                    <w:jc w:val="center"/>
                                    <w:outlineLvl w:val="4"/>
                                    <w:rPr>
                                      <w:color w:val="00000A"/>
                                    </w:rPr>
                                  </w:pPr>
                                  <w:r>
                                    <w:rPr>
                                      <w:color w:val="00000A"/>
                                      <w:sz w:val="24"/>
                                    </w:rPr>
                                    <w:t>Рачуноводство</w:t>
                                  </w:r>
                                </w:p>
                                <w:p>
                                  <w:pPr>
                                    <w:numPr>
                                      <w:ilvl w:val="0"/>
                                      <w:numId w:val="0"/>
                                    </w:numPr>
                                    <w:bidi w:val="0"/>
                                    <w:ind w:left="0" w:right="0" w:firstLine="0"/>
                                    <w:jc w:val="center"/>
                                    <w:outlineLvl w:val="4"/>
                                    <w:rPr>
                                      <w:color w:val="00000A"/>
                                      <w:sz w:val="24"/>
                                    </w:rPr>
                                  </w:pPr>
                                </w:p>
                                <w:p>
                                  <w:pPr>
                                    <w:numPr>
                                      <w:ilvl w:val="0"/>
                                      <w:numId w:val="0"/>
                                    </w:numPr>
                                    <w:bidi w:val="0"/>
                                    <w:ind w:left="0" w:right="0" w:firstLine="0"/>
                                    <w:jc w:val="center"/>
                                    <w:outlineLvl w:val="4"/>
                                    <w:rPr>
                                      <w:color w:val="00000A"/>
                                      <w:sz w:val="24"/>
                                    </w:rPr>
                                  </w:pPr>
                                </w:p>
                              </w:tc>
                            </w:tr>
                          </w:tbl>
                          <w:p>
                            <w:pPr>
                              <w:pStyle w:val="13"/>
                            </w:pPr>
                          </w:p>
                        </w:txbxContent>
                      </wps:txbx>
                      <wps:bodyPr lIns="0" tIns="0" rIns="0" bIns="0">
                        <a:spAutoFit/>
                      </wps:bodyPr>
                    </wps:wsp>
                  </a:graphicData>
                </a:graphic>
              </wp:anchor>
            </w:drawing>
          </mc:Choice>
          <mc:Fallback>
            <w:pict>
              <v:rect id="Frame3" o:spid="_x0000_s1026" o:spt="1" style="position:absolute;left:0pt;margin-top:2.25pt;height:69.7pt;width:338.9pt;mso-position-horizontal:center;mso-position-horizontal-relative:margin;mso-wrap-distance-bottom:0pt;mso-wrap-distance-left:9pt;mso-wrap-distance-right:9pt;mso-wrap-distance-top:0pt;z-index:251660288;mso-width-relative:page;mso-height-relative:page;" filled="f" stroked="f" coordsize="21600,21600" o:gfxdata="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Bn5B3PWAAAABgEAAA8A&#10;AAAAAAAAAQAgAAAAIgAAAGRycy9kb3ducmV2LnhtbFBLAQIUABQAAAAIAIdO4kA2Z7TzpwEAAHED&#10;AAAOAAAAAAAAAAEAIAAAACUBAABkcnMvZTJvRG9jLnhtbFBLBQYAAAAABgAGAFkBAAA+BQAAAAA=&#10;">
                <v:fill on="f" focussize="0,0"/>
                <v:stroke on="f"/>
                <v:imagedata o:title=""/>
                <o:lock v:ext="edit" aspectratio="f"/>
                <v:textbox inset="0mm,0mm,0mm,0mm" style="mso-fit-shape-to-text:t;">
                  <w:txbxContent>
                    <w:tbl>
                      <w:tblPr>
                        <w:tblStyle w:val="11"/>
                        <w:tblW w:w="6775" w:type="dxa"/>
                        <w:jc w:val="center"/>
                        <w:tblBorders>
                          <w:top w:val="double" w:color="000001" w:sz="4" w:space="0"/>
                          <w:left w:val="double" w:color="000001" w:sz="4" w:space="0"/>
                          <w:bottom w:val="double" w:color="000001" w:sz="4" w:space="0"/>
                          <w:right w:val="double" w:color="000001" w:sz="4" w:space="0"/>
                          <w:insideH w:val="double" w:color="000001" w:sz="4" w:space="0"/>
                          <w:insideV w:val="double" w:color="000001" w:sz="4" w:space="0"/>
                        </w:tblBorders>
                        <w:tblLayout w:type="autofit"/>
                        <w:tblCellMar>
                          <w:top w:w="0" w:type="dxa"/>
                          <w:left w:w="48" w:type="dxa"/>
                          <w:bottom w:w="0" w:type="dxa"/>
                          <w:right w:w="108" w:type="dxa"/>
                        </w:tblCellMar>
                      </w:tblPr>
                      <w:tblGrid>
                        <w:gridCol w:w="2373"/>
                        <w:gridCol w:w="1988"/>
                        <w:gridCol w:w="2414"/>
                      </w:tblGrid>
                      <w:tr>
                        <w:tblPrEx>
                          <w:tblBorders>
                            <w:top w:val="double" w:color="000001" w:sz="4" w:space="0"/>
                            <w:left w:val="double" w:color="000001" w:sz="4" w:space="0"/>
                            <w:bottom w:val="double" w:color="000001" w:sz="4" w:space="0"/>
                            <w:right w:val="double" w:color="000001" w:sz="4" w:space="0"/>
                            <w:insideH w:val="double" w:color="000001" w:sz="4" w:space="0"/>
                            <w:insideV w:val="double" w:color="000001" w:sz="4" w:space="0"/>
                          </w:tblBorders>
                          <w:tblCellMar>
                            <w:top w:w="0" w:type="dxa"/>
                            <w:left w:w="48" w:type="dxa"/>
                            <w:bottom w:w="0" w:type="dxa"/>
                            <w:right w:w="108" w:type="dxa"/>
                          </w:tblCellMar>
                        </w:tblPrEx>
                        <w:trPr>
                          <w:trHeight w:val="823" w:hRule="atLeast"/>
                          <w:jc w:val="center"/>
                        </w:trPr>
                        <w:tc>
                          <w:tcPr>
                            <w:tcW w:w="2373" w:type="dxa"/>
                            <w:tcBorders>
                              <w:top w:val="double" w:color="000001" w:sz="4" w:space="0"/>
                              <w:left w:val="double" w:color="000001" w:sz="4" w:space="0"/>
                              <w:bottom w:val="double" w:color="000001" w:sz="4" w:space="0"/>
                              <w:right w:val="double" w:color="000001" w:sz="4" w:space="0"/>
                              <w:insideH w:val="double" w:sz="4" w:space="0"/>
                              <w:insideV w:val="double" w:sz="4" w:space="0"/>
                            </w:tcBorders>
                            <w:shd w:val="clear" w:color="auto" w:fill="auto"/>
                            <w:tcMar>
                              <w:left w:w="48" w:type="dxa"/>
                            </w:tcMar>
                          </w:tcPr>
                          <w:p>
                            <w:pPr>
                              <w:numPr>
                                <w:ilvl w:val="0"/>
                                <w:numId w:val="0"/>
                              </w:numPr>
                              <w:bidi w:val="0"/>
                              <w:ind w:left="141" w:right="0" w:firstLine="0"/>
                              <w:jc w:val="center"/>
                              <w:outlineLvl w:val="4"/>
                              <w:rPr>
                                <w:color w:val="00000A"/>
                                <w:sz w:val="24"/>
                              </w:rPr>
                            </w:pPr>
                          </w:p>
                          <w:p>
                            <w:pPr>
                              <w:numPr>
                                <w:ilvl w:val="0"/>
                                <w:numId w:val="0"/>
                              </w:numPr>
                              <w:bidi w:val="0"/>
                              <w:ind w:left="141" w:right="0" w:firstLine="0"/>
                              <w:jc w:val="center"/>
                              <w:outlineLvl w:val="4"/>
                              <w:rPr>
                                <w:color w:val="00000A"/>
                              </w:rPr>
                            </w:pPr>
                            <w:r>
                              <w:rPr>
                                <w:color w:val="00000A"/>
                                <w:sz w:val="24"/>
                              </w:rPr>
                              <w:t>Кривично одељење</w:t>
                            </w:r>
                          </w:p>
                          <w:p>
                            <w:pPr>
                              <w:numPr>
                                <w:ilvl w:val="0"/>
                                <w:numId w:val="0"/>
                              </w:numPr>
                              <w:bidi w:val="0"/>
                              <w:ind w:left="141" w:right="0" w:firstLine="0"/>
                              <w:jc w:val="center"/>
                              <w:outlineLvl w:val="4"/>
                              <w:rPr>
                                <w:color w:val="00000A"/>
                                <w:sz w:val="24"/>
                              </w:rPr>
                            </w:pPr>
                          </w:p>
                        </w:tc>
                        <w:tc>
                          <w:tcPr>
                            <w:tcW w:w="1988" w:type="dxa"/>
                            <w:tcBorders>
                              <w:top w:val="double" w:color="000001" w:sz="4" w:space="0"/>
                              <w:left w:val="double" w:color="000001" w:sz="4" w:space="0"/>
                              <w:bottom w:val="double" w:color="000001" w:sz="4" w:space="0"/>
                              <w:right w:val="double" w:color="000001" w:sz="4" w:space="0"/>
                              <w:insideH w:val="double" w:sz="4" w:space="0"/>
                              <w:insideV w:val="double" w:sz="4" w:space="0"/>
                            </w:tcBorders>
                            <w:shd w:val="clear" w:color="auto" w:fill="auto"/>
                            <w:tcMar>
                              <w:left w:w="48" w:type="dxa"/>
                            </w:tcMar>
                          </w:tcPr>
                          <w:p>
                            <w:pPr>
                              <w:numPr>
                                <w:ilvl w:val="0"/>
                                <w:numId w:val="0"/>
                              </w:numPr>
                              <w:bidi w:val="0"/>
                              <w:ind w:left="0" w:right="0" w:firstLine="0"/>
                              <w:jc w:val="center"/>
                              <w:outlineLvl w:val="4"/>
                              <w:rPr>
                                <w:color w:val="00000A"/>
                                <w:sz w:val="24"/>
                              </w:rPr>
                            </w:pPr>
                          </w:p>
                          <w:p>
                            <w:pPr>
                              <w:numPr>
                                <w:ilvl w:val="0"/>
                                <w:numId w:val="0"/>
                              </w:numPr>
                              <w:bidi w:val="0"/>
                              <w:ind w:left="0" w:right="0" w:firstLine="0"/>
                              <w:jc w:val="center"/>
                              <w:outlineLvl w:val="4"/>
                              <w:rPr>
                                <w:color w:val="00000A"/>
                              </w:rPr>
                            </w:pPr>
                            <w:r>
                              <w:rPr>
                                <w:color w:val="00000A"/>
                                <w:sz w:val="24"/>
                              </w:rPr>
                              <w:t>Писарница</w:t>
                            </w:r>
                          </w:p>
                          <w:p>
                            <w:pPr>
                              <w:numPr>
                                <w:ilvl w:val="0"/>
                                <w:numId w:val="0"/>
                              </w:numPr>
                              <w:bidi w:val="0"/>
                              <w:ind w:left="0" w:right="0" w:firstLine="0"/>
                              <w:jc w:val="center"/>
                              <w:outlineLvl w:val="4"/>
                              <w:rPr>
                                <w:color w:val="00000A"/>
                                <w:sz w:val="24"/>
                              </w:rPr>
                            </w:pPr>
                          </w:p>
                        </w:tc>
                        <w:tc>
                          <w:tcPr>
                            <w:tcW w:w="2414" w:type="dxa"/>
                            <w:tcBorders>
                              <w:top w:val="double" w:color="000001" w:sz="4" w:space="0"/>
                              <w:left w:val="double" w:color="000001" w:sz="4" w:space="0"/>
                              <w:bottom w:val="double" w:color="000001" w:sz="4" w:space="0"/>
                              <w:right w:val="double" w:color="000001" w:sz="4" w:space="0"/>
                              <w:insideH w:val="double" w:sz="4" w:space="0"/>
                              <w:insideV w:val="double" w:sz="4" w:space="0"/>
                            </w:tcBorders>
                            <w:shd w:val="clear" w:color="auto" w:fill="auto"/>
                            <w:tcMar>
                              <w:left w:w="48" w:type="dxa"/>
                            </w:tcMar>
                          </w:tcPr>
                          <w:p>
                            <w:pPr>
                              <w:numPr>
                                <w:ilvl w:val="0"/>
                                <w:numId w:val="0"/>
                              </w:numPr>
                              <w:bidi w:val="0"/>
                              <w:ind w:left="0" w:right="0" w:firstLine="0"/>
                              <w:jc w:val="center"/>
                              <w:outlineLvl w:val="4"/>
                              <w:rPr>
                                <w:color w:val="00000A"/>
                                <w:sz w:val="24"/>
                              </w:rPr>
                            </w:pPr>
                          </w:p>
                          <w:p>
                            <w:pPr>
                              <w:numPr>
                                <w:ilvl w:val="0"/>
                                <w:numId w:val="0"/>
                              </w:numPr>
                              <w:bidi w:val="0"/>
                              <w:ind w:left="0" w:right="0" w:firstLine="0"/>
                              <w:jc w:val="center"/>
                              <w:outlineLvl w:val="4"/>
                              <w:rPr>
                                <w:color w:val="00000A"/>
                              </w:rPr>
                            </w:pPr>
                            <w:r>
                              <w:rPr>
                                <w:color w:val="00000A"/>
                                <w:sz w:val="24"/>
                              </w:rPr>
                              <w:t>Рачуноводство</w:t>
                            </w:r>
                          </w:p>
                          <w:p>
                            <w:pPr>
                              <w:numPr>
                                <w:ilvl w:val="0"/>
                                <w:numId w:val="0"/>
                              </w:numPr>
                              <w:bidi w:val="0"/>
                              <w:ind w:left="0" w:right="0" w:firstLine="0"/>
                              <w:jc w:val="center"/>
                              <w:outlineLvl w:val="4"/>
                              <w:rPr>
                                <w:color w:val="00000A"/>
                                <w:sz w:val="24"/>
                              </w:rPr>
                            </w:pPr>
                          </w:p>
                          <w:p>
                            <w:pPr>
                              <w:numPr>
                                <w:ilvl w:val="0"/>
                                <w:numId w:val="0"/>
                              </w:numPr>
                              <w:bidi w:val="0"/>
                              <w:ind w:left="0" w:right="0" w:firstLine="0"/>
                              <w:jc w:val="center"/>
                              <w:outlineLvl w:val="4"/>
                              <w:rPr>
                                <w:color w:val="00000A"/>
                                <w:sz w:val="24"/>
                              </w:rPr>
                            </w:pPr>
                          </w:p>
                        </w:tc>
                      </w:tr>
                    </w:tbl>
                    <w:p>
                      <w:pPr>
                        <w:pStyle w:val="13"/>
                      </w:pPr>
                    </w:p>
                  </w:txbxContent>
                </v:textbox>
                <w10:wrap type="square"/>
              </v:rect>
            </w:pict>
          </mc:Fallback>
        </mc:AlternateContent>
      </w: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Упоредни подаци о предвиђеном и стварном броју запослених лица:</w:t>
      </w: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tbl>
      <w:tblPr>
        <w:tblStyle w:val="11"/>
        <w:tblW w:w="8718" w:type="dxa"/>
        <w:tblInd w:w="-15"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88" w:type="dxa"/>
          <w:bottom w:w="0" w:type="dxa"/>
          <w:right w:w="108" w:type="dxa"/>
        </w:tblCellMar>
      </w:tblPr>
      <w:tblGrid>
        <w:gridCol w:w="2363"/>
        <w:gridCol w:w="1995"/>
        <w:gridCol w:w="2180"/>
        <w:gridCol w:w="2180"/>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1106" w:hRule="atLeast"/>
        </w:trPr>
        <w:tc>
          <w:tcPr>
            <w:tcW w:w="2363"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D9D9D9"/>
            <w:tcMar>
              <w:left w:w="88" w:type="dxa"/>
            </w:tcMar>
          </w:tcPr>
          <w:p>
            <w:pPr>
              <w:numPr>
                <w:ilvl w:val="0"/>
                <w:numId w:val="0"/>
              </w:numPr>
              <w:bidi w:val="0"/>
              <w:ind w:left="0" w:right="0" w:firstLine="0"/>
              <w:jc w:val="center"/>
              <w:outlineLvl w:val="4"/>
              <w:rPr>
                <w:sz w:val="24"/>
              </w:rPr>
            </w:pPr>
          </w:p>
          <w:p>
            <w:pPr>
              <w:numPr>
                <w:ilvl w:val="0"/>
                <w:numId w:val="0"/>
              </w:numPr>
              <w:bidi w:val="0"/>
              <w:ind w:left="0" w:right="0" w:firstLine="0"/>
              <w:jc w:val="center"/>
              <w:outlineLvl w:val="4"/>
              <w:rPr>
                <w:sz w:val="24"/>
              </w:rPr>
            </w:pPr>
            <w:r>
              <w:rPr>
                <w:sz w:val="24"/>
              </w:rPr>
              <w:t>Радна места</w:t>
            </w:r>
          </w:p>
        </w:tc>
        <w:tc>
          <w:tcPr>
            <w:tcW w:w="199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D9D9D9"/>
            <w:tcMar>
              <w:left w:w="88" w:type="dxa"/>
            </w:tcMar>
          </w:tcPr>
          <w:p>
            <w:pPr>
              <w:numPr>
                <w:ilvl w:val="0"/>
                <w:numId w:val="0"/>
              </w:numPr>
              <w:bidi w:val="0"/>
              <w:ind w:left="0" w:right="0" w:firstLine="0"/>
              <w:jc w:val="center"/>
              <w:outlineLvl w:val="4"/>
              <w:rPr>
                <w:sz w:val="24"/>
              </w:rPr>
            </w:pPr>
          </w:p>
          <w:p>
            <w:pPr>
              <w:numPr>
                <w:ilvl w:val="0"/>
                <w:numId w:val="0"/>
              </w:numPr>
              <w:bidi w:val="0"/>
              <w:ind w:left="0" w:right="0" w:firstLine="0"/>
              <w:jc w:val="center"/>
              <w:outlineLvl w:val="4"/>
              <w:rPr>
                <w:sz w:val="24"/>
              </w:rPr>
            </w:pPr>
            <w:r>
              <w:rPr>
                <w:sz w:val="24"/>
              </w:rPr>
              <w:t>Систематизовано</w:t>
            </w:r>
          </w:p>
        </w:tc>
        <w:tc>
          <w:tcPr>
            <w:tcW w:w="218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D9D9D9"/>
            <w:tcMar>
              <w:left w:w="88" w:type="dxa"/>
            </w:tcMar>
          </w:tcPr>
          <w:p>
            <w:pPr>
              <w:numPr>
                <w:ilvl w:val="0"/>
                <w:numId w:val="0"/>
              </w:numPr>
              <w:bidi w:val="0"/>
              <w:ind w:left="0" w:right="0" w:firstLine="0"/>
              <w:jc w:val="center"/>
              <w:outlineLvl w:val="4"/>
              <w:rPr>
                <w:sz w:val="24"/>
              </w:rPr>
            </w:pPr>
          </w:p>
          <w:p>
            <w:pPr>
              <w:numPr>
                <w:ilvl w:val="0"/>
                <w:numId w:val="0"/>
              </w:numPr>
              <w:bidi w:val="0"/>
              <w:ind w:left="0" w:right="0" w:firstLine="0"/>
              <w:jc w:val="center"/>
              <w:outlineLvl w:val="4"/>
              <w:rPr>
                <w:sz w:val="24"/>
              </w:rPr>
            </w:pPr>
            <w:r>
              <w:rPr>
                <w:sz w:val="24"/>
              </w:rPr>
              <w:t>Попуњено</w:t>
            </w:r>
          </w:p>
        </w:tc>
        <w:tc>
          <w:tcPr>
            <w:tcW w:w="218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D9D9D9"/>
            <w:tcMar>
              <w:left w:w="88" w:type="dxa"/>
            </w:tcMar>
          </w:tcPr>
          <w:p>
            <w:pPr>
              <w:numPr>
                <w:ilvl w:val="0"/>
                <w:numId w:val="0"/>
              </w:numPr>
              <w:bidi w:val="0"/>
              <w:ind w:left="0" w:right="0" w:firstLine="0"/>
              <w:jc w:val="center"/>
              <w:outlineLvl w:val="4"/>
              <w:rPr>
                <w:sz w:val="24"/>
              </w:rPr>
            </w:pPr>
            <w:r>
              <w:rPr>
                <w:sz w:val="24"/>
              </w:rPr>
              <w:t>Запослени на одређено време због повећаног обима посла</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694" w:hRule="atLeast"/>
        </w:trPr>
        <w:tc>
          <w:tcPr>
            <w:tcW w:w="2363"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left"/>
              <w:outlineLvl w:val="4"/>
              <w:rPr>
                <w:sz w:val="24"/>
              </w:rPr>
            </w:pPr>
            <w:r>
              <w:rPr>
                <w:sz w:val="24"/>
              </w:rPr>
              <w:t xml:space="preserve">Виши </w:t>
            </w:r>
            <w:r>
              <w:rPr>
                <w:sz w:val="24"/>
                <w:lang w:val="sr-Cyrl-RS"/>
              </w:rPr>
              <w:t>јавно</w:t>
            </w:r>
            <w:r>
              <w:rPr>
                <w:sz w:val="24"/>
              </w:rPr>
              <w:t>тужилачки сарадник</w:t>
            </w:r>
          </w:p>
        </w:tc>
        <w:tc>
          <w:tcPr>
            <w:tcW w:w="199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sz w:val="24"/>
              </w:rPr>
            </w:pPr>
            <w:r>
              <w:rPr>
                <w:sz w:val="24"/>
              </w:rPr>
              <w:t>1</w:t>
            </w:r>
          </w:p>
        </w:tc>
        <w:tc>
          <w:tcPr>
            <w:tcW w:w="218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rFonts w:hint="default"/>
                <w:sz w:val="24"/>
                <w:lang w:val="sr-Cyrl-RS"/>
              </w:rPr>
            </w:pPr>
            <w:r>
              <w:rPr>
                <w:rFonts w:hint="default"/>
                <w:sz w:val="24"/>
                <w:lang w:val="sr-Cyrl-RS"/>
              </w:rPr>
              <w:t>1</w:t>
            </w:r>
          </w:p>
        </w:tc>
        <w:tc>
          <w:tcPr>
            <w:tcW w:w="218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rFonts w:hint="default"/>
                <w:sz w:val="24"/>
                <w:lang w:val="sr-Cyrl-RS"/>
              </w:rPr>
            </w:pPr>
            <w:r>
              <w:rPr>
                <w:rFonts w:hint="default"/>
                <w:sz w:val="24"/>
                <w:lang w:val="sr-Cyrl-RS"/>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694" w:hRule="atLeast"/>
        </w:trPr>
        <w:tc>
          <w:tcPr>
            <w:tcW w:w="2363"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left"/>
              <w:outlineLvl w:val="4"/>
              <w:rPr>
                <w:rFonts w:hint="default"/>
                <w:sz w:val="24"/>
                <w:lang w:val="sr-Cyrl-RS"/>
              </w:rPr>
            </w:pPr>
            <w:r>
              <w:rPr>
                <w:sz w:val="24"/>
                <w:lang w:val="sr-Cyrl-RS"/>
              </w:rPr>
              <w:t>Јавнотужилачки</w:t>
            </w:r>
            <w:r>
              <w:rPr>
                <w:rFonts w:hint="default"/>
                <w:sz w:val="24"/>
                <w:lang w:val="sr-Cyrl-RS"/>
              </w:rPr>
              <w:t xml:space="preserve"> сарадник</w:t>
            </w:r>
          </w:p>
        </w:tc>
        <w:tc>
          <w:tcPr>
            <w:tcW w:w="199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rFonts w:hint="default"/>
                <w:sz w:val="24"/>
                <w:lang w:val="sr-Cyrl-RS"/>
              </w:rPr>
            </w:pPr>
            <w:r>
              <w:rPr>
                <w:rFonts w:hint="default"/>
                <w:sz w:val="24"/>
                <w:lang w:val="sr-Cyrl-RS"/>
              </w:rPr>
              <w:t>/</w:t>
            </w:r>
          </w:p>
        </w:tc>
        <w:tc>
          <w:tcPr>
            <w:tcW w:w="218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rFonts w:hint="default"/>
                <w:sz w:val="24"/>
                <w:lang w:val="sr-Cyrl-RS"/>
              </w:rPr>
            </w:pPr>
            <w:r>
              <w:rPr>
                <w:rFonts w:hint="default"/>
                <w:sz w:val="24"/>
                <w:lang w:val="sr-Cyrl-RS"/>
              </w:rPr>
              <w:t>/</w:t>
            </w:r>
          </w:p>
        </w:tc>
        <w:tc>
          <w:tcPr>
            <w:tcW w:w="218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rFonts w:hint="default"/>
                <w:sz w:val="24"/>
                <w:lang w:val="sr-Cyrl-RS"/>
              </w:rPr>
            </w:pPr>
            <w:r>
              <w:rPr>
                <w:rFonts w:hint="default"/>
                <w:sz w:val="24"/>
                <w:lang w:val="sr-Cyrl-RS"/>
              </w:rPr>
              <w:t>1</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694" w:hRule="atLeast"/>
        </w:trPr>
        <w:tc>
          <w:tcPr>
            <w:tcW w:w="2363"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left"/>
              <w:outlineLvl w:val="4"/>
              <w:rPr>
                <w:sz w:val="24"/>
              </w:rPr>
            </w:pPr>
            <w:r>
              <w:rPr>
                <w:sz w:val="24"/>
              </w:rPr>
              <w:t xml:space="preserve">Уписничар </w:t>
            </w:r>
          </w:p>
        </w:tc>
        <w:tc>
          <w:tcPr>
            <w:tcW w:w="199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sz w:val="24"/>
              </w:rPr>
            </w:pPr>
            <w:r>
              <w:rPr>
                <w:sz w:val="24"/>
              </w:rPr>
              <w:t>1</w:t>
            </w:r>
          </w:p>
        </w:tc>
        <w:tc>
          <w:tcPr>
            <w:tcW w:w="218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sz w:val="24"/>
              </w:rPr>
            </w:pPr>
            <w:r>
              <w:rPr>
                <w:sz w:val="24"/>
              </w:rPr>
              <w:t>1</w:t>
            </w:r>
          </w:p>
        </w:tc>
        <w:tc>
          <w:tcPr>
            <w:tcW w:w="218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sz w:val="24"/>
              </w:rPr>
            </w:pPr>
            <w:r>
              <w:rPr>
                <w:sz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694" w:hRule="atLeast"/>
        </w:trPr>
        <w:tc>
          <w:tcPr>
            <w:tcW w:w="2363"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left"/>
              <w:outlineLvl w:val="4"/>
              <w:rPr>
                <w:rFonts w:hint="default"/>
                <w:sz w:val="24"/>
                <w:lang w:val="sr-Cyrl-RS"/>
              </w:rPr>
            </w:pPr>
            <w:r>
              <w:rPr>
                <w:sz w:val="24"/>
                <w:lang w:val="sr-Cyrl-RS"/>
              </w:rPr>
              <w:t>Уписничар</w:t>
            </w:r>
          </w:p>
        </w:tc>
        <w:tc>
          <w:tcPr>
            <w:tcW w:w="199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rFonts w:hint="default"/>
                <w:sz w:val="24"/>
                <w:lang w:val="sr-Cyrl-RS"/>
              </w:rPr>
            </w:pPr>
            <w:r>
              <w:rPr>
                <w:rFonts w:hint="default"/>
                <w:sz w:val="24"/>
                <w:lang w:val="sr-Cyrl-RS"/>
              </w:rPr>
              <w:t>/</w:t>
            </w:r>
          </w:p>
        </w:tc>
        <w:tc>
          <w:tcPr>
            <w:tcW w:w="218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rFonts w:hint="default"/>
                <w:sz w:val="24"/>
                <w:lang w:val="sr-Cyrl-RS"/>
              </w:rPr>
            </w:pPr>
            <w:r>
              <w:rPr>
                <w:rFonts w:hint="default"/>
                <w:sz w:val="24"/>
                <w:lang w:val="sr-Cyrl-RS"/>
              </w:rPr>
              <w:t>/</w:t>
            </w:r>
          </w:p>
        </w:tc>
        <w:tc>
          <w:tcPr>
            <w:tcW w:w="218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rFonts w:hint="default"/>
                <w:sz w:val="24"/>
                <w:lang w:val="sr-Cyrl-RS"/>
              </w:rPr>
            </w:pPr>
            <w:r>
              <w:rPr>
                <w:rFonts w:hint="default"/>
                <w:sz w:val="24"/>
                <w:lang w:val="sr-Cyrl-RS"/>
              </w:rPr>
              <w:t>1</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694" w:hRule="atLeast"/>
        </w:trPr>
        <w:tc>
          <w:tcPr>
            <w:tcW w:w="2363"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hemeFill="background1"/>
            <w:tcMar>
              <w:left w:w="88" w:type="dxa"/>
            </w:tcMar>
          </w:tcPr>
          <w:p>
            <w:pPr>
              <w:numPr>
                <w:ilvl w:val="0"/>
                <w:numId w:val="0"/>
              </w:numPr>
              <w:bidi w:val="0"/>
              <w:spacing w:before="120" w:after="0"/>
              <w:ind w:left="0" w:right="0" w:firstLine="0"/>
              <w:jc w:val="left"/>
              <w:outlineLvl w:val="4"/>
              <w:rPr>
                <w:rFonts w:hint="default"/>
                <w:sz w:val="24"/>
                <w:lang w:val="sr-Cyrl-RS"/>
              </w:rPr>
            </w:pPr>
            <w:r>
              <w:rPr>
                <w:sz w:val="24"/>
                <w:lang w:val="sr-Cyrl-RS"/>
              </w:rPr>
              <w:t>Записничар</w:t>
            </w:r>
          </w:p>
        </w:tc>
        <w:tc>
          <w:tcPr>
            <w:tcW w:w="199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hemeFill="background1"/>
            <w:tcMar>
              <w:left w:w="88" w:type="dxa"/>
            </w:tcMar>
          </w:tcPr>
          <w:p>
            <w:pPr>
              <w:numPr>
                <w:ilvl w:val="0"/>
                <w:numId w:val="0"/>
              </w:numPr>
              <w:bidi w:val="0"/>
              <w:spacing w:before="120" w:after="0"/>
              <w:ind w:left="0" w:right="0" w:firstLine="0"/>
              <w:jc w:val="center"/>
              <w:outlineLvl w:val="4"/>
              <w:rPr>
                <w:rFonts w:hint="default"/>
                <w:sz w:val="24"/>
                <w:lang w:val="sr-Cyrl-RS"/>
              </w:rPr>
            </w:pPr>
            <w:r>
              <w:rPr>
                <w:rFonts w:hint="default"/>
                <w:sz w:val="24"/>
                <w:lang w:val="sr-Cyrl-RS"/>
              </w:rPr>
              <w:t>1</w:t>
            </w:r>
          </w:p>
        </w:tc>
        <w:tc>
          <w:tcPr>
            <w:tcW w:w="218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hemeFill="background1"/>
            <w:tcMar>
              <w:left w:w="88" w:type="dxa"/>
            </w:tcMar>
          </w:tcPr>
          <w:p>
            <w:pPr>
              <w:numPr>
                <w:ilvl w:val="0"/>
                <w:numId w:val="0"/>
              </w:numPr>
              <w:bidi w:val="0"/>
              <w:spacing w:before="120" w:after="0"/>
              <w:ind w:left="0" w:right="0" w:firstLine="0"/>
              <w:jc w:val="center"/>
              <w:outlineLvl w:val="4"/>
              <w:rPr>
                <w:rFonts w:hint="default"/>
                <w:sz w:val="24"/>
                <w:lang w:val="sr-Cyrl-RS"/>
              </w:rPr>
            </w:pPr>
            <w:r>
              <w:rPr>
                <w:rFonts w:hint="default"/>
                <w:sz w:val="24"/>
                <w:lang w:val="sr-Cyrl-RS"/>
              </w:rPr>
              <w:t>1</w:t>
            </w:r>
          </w:p>
        </w:tc>
        <w:tc>
          <w:tcPr>
            <w:tcW w:w="218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FFFFFF" w:themeFill="background1"/>
            <w:tcMar>
              <w:left w:w="88" w:type="dxa"/>
            </w:tcMar>
          </w:tcPr>
          <w:p>
            <w:pPr>
              <w:numPr>
                <w:ilvl w:val="0"/>
                <w:numId w:val="0"/>
              </w:numPr>
              <w:bidi w:val="0"/>
              <w:spacing w:before="120" w:after="0"/>
              <w:ind w:left="0" w:right="0" w:firstLine="0"/>
              <w:jc w:val="center"/>
              <w:outlineLvl w:val="4"/>
              <w:rPr>
                <w:rFonts w:hint="default"/>
                <w:sz w:val="24"/>
                <w:lang w:val="sr-Cyrl-RS"/>
              </w:rPr>
            </w:pPr>
            <w:r>
              <w:rPr>
                <w:rFonts w:hint="default"/>
                <w:sz w:val="24"/>
                <w:lang w:val="sr-Cyrl-RS"/>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694" w:hRule="atLeast"/>
        </w:trPr>
        <w:tc>
          <w:tcPr>
            <w:tcW w:w="2363"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left"/>
              <w:outlineLvl w:val="4"/>
              <w:rPr>
                <w:sz w:val="24"/>
              </w:rPr>
            </w:pPr>
            <w:r>
              <w:rPr>
                <w:sz w:val="24"/>
              </w:rPr>
              <w:t>Дактилограф – намештеник</w:t>
            </w:r>
          </w:p>
        </w:tc>
        <w:tc>
          <w:tcPr>
            <w:tcW w:w="199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sz w:val="24"/>
              </w:rPr>
            </w:pPr>
            <w:r>
              <w:rPr>
                <w:sz w:val="24"/>
              </w:rPr>
              <w:t>1</w:t>
            </w:r>
          </w:p>
        </w:tc>
        <w:tc>
          <w:tcPr>
            <w:tcW w:w="218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rFonts w:hint="default"/>
                <w:sz w:val="24"/>
                <w:lang w:val="sr-Cyrl-RS"/>
              </w:rPr>
            </w:pPr>
            <w:r>
              <w:rPr>
                <w:rFonts w:hint="default"/>
                <w:sz w:val="24"/>
                <w:lang w:val="sr-Cyrl-RS"/>
              </w:rPr>
              <w:t>/</w:t>
            </w:r>
          </w:p>
        </w:tc>
        <w:tc>
          <w:tcPr>
            <w:tcW w:w="218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sz w:val="24"/>
              </w:rPr>
            </w:pPr>
            <w:r>
              <w:rPr>
                <w:sz w:val="24"/>
              </w:rPr>
              <w:t>1</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694" w:hRule="atLeast"/>
        </w:trPr>
        <w:tc>
          <w:tcPr>
            <w:tcW w:w="2363"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left"/>
              <w:outlineLvl w:val="4"/>
              <w:rPr>
                <w:sz w:val="24"/>
              </w:rPr>
            </w:pPr>
            <w:r>
              <w:rPr>
                <w:sz w:val="24"/>
              </w:rPr>
              <w:t>Достављач</w:t>
            </w:r>
          </w:p>
        </w:tc>
        <w:tc>
          <w:tcPr>
            <w:tcW w:w="199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sz w:val="24"/>
              </w:rPr>
            </w:pPr>
            <w:r>
              <w:rPr>
                <w:sz w:val="24"/>
              </w:rPr>
              <w:t>1</w:t>
            </w:r>
          </w:p>
        </w:tc>
        <w:tc>
          <w:tcPr>
            <w:tcW w:w="218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rFonts w:hint="default"/>
                <w:sz w:val="24"/>
                <w:lang w:val="sr-Cyrl-RS"/>
              </w:rPr>
            </w:pPr>
            <w:r>
              <w:rPr>
                <w:rFonts w:hint="default"/>
                <w:sz w:val="24"/>
                <w:lang w:val="sr-Cyrl-RS"/>
              </w:rPr>
              <w:t>1</w:t>
            </w:r>
          </w:p>
        </w:tc>
        <w:tc>
          <w:tcPr>
            <w:tcW w:w="218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sz w:val="24"/>
              </w:rPr>
            </w:pPr>
            <w:r>
              <w:rPr>
                <w:sz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704" w:hRule="atLeast"/>
        </w:trPr>
        <w:tc>
          <w:tcPr>
            <w:tcW w:w="2363"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left"/>
              <w:outlineLvl w:val="4"/>
              <w:rPr>
                <w:sz w:val="24"/>
              </w:rPr>
            </w:pPr>
            <w:r>
              <w:rPr>
                <w:sz w:val="24"/>
              </w:rPr>
              <w:t xml:space="preserve">Укупно </w:t>
            </w:r>
          </w:p>
        </w:tc>
        <w:tc>
          <w:tcPr>
            <w:tcW w:w="199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rFonts w:hint="default"/>
                <w:sz w:val="24"/>
                <w:lang w:val="sr-Cyrl-RS"/>
              </w:rPr>
            </w:pPr>
            <w:r>
              <w:rPr>
                <w:rFonts w:hint="default"/>
                <w:sz w:val="24"/>
                <w:lang w:val="sr-Cyrl-RS"/>
              </w:rPr>
              <w:t>5</w:t>
            </w:r>
          </w:p>
        </w:tc>
        <w:tc>
          <w:tcPr>
            <w:tcW w:w="218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rFonts w:hint="default"/>
                <w:sz w:val="24"/>
                <w:lang w:val="sr-Cyrl-RS"/>
              </w:rPr>
            </w:pPr>
            <w:r>
              <w:rPr>
                <w:rFonts w:hint="default"/>
                <w:sz w:val="24"/>
                <w:lang w:val="sr-Cyrl-RS"/>
              </w:rPr>
              <w:t>4</w:t>
            </w:r>
          </w:p>
        </w:tc>
        <w:tc>
          <w:tcPr>
            <w:tcW w:w="218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rFonts w:hint="default"/>
                <w:sz w:val="24"/>
                <w:lang w:val="sr-Cyrl-RS"/>
              </w:rPr>
            </w:pPr>
            <w:r>
              <w:rPr>
                <w:rFonts w:hint="default"/>
                <w:sz w:val="24"/>
                <w:lang w:val="sr-Cyrl-RS"/>
              </w:rPr>
              <w:t>3</w:t>
            </w:r>
          </w:p>
        </w:tc>
      </w:tr>
    </w:tbl>
    <w:p>
      <w:pPr>
        <w:numPr>
          <w:ilvl w:val="0"/>
          <w:numId w:val="0"/>
        </w:numPr>
        <w:bidi w:val="0"/>
        <w:ind w:left="0" w:right="0" w:firstLine="0"/>
        <w:jc w:val="center"/>
        <w:outlineLvl w:val="0"/>
        <w:rPr>
          <w:b/>
          <w:color w:val="000000"/>
          <w:sz w:val="24"/>
        </w:rPr>
      </w:pPr>
    </w:p>
    <w:p>
      <w:pPr>
        <w:numPr>
          <w:ilvl w:val="0"/>
          <w:numId w:val="0"/>
        </w:numPr>
        <w:bidi w:val="0"/>
        <w:ind w:left="0" w:right="0" w:firstLine="0"/>
        <w:jc w:val="center"/>
        <w:outlineLvl w:val="0"/>
        <w:rPr>
          <w:b/>
          <w:color w:val="000000"/>
          <w:sz w:val="24"/>
        </w:rPr>
      </w:pPr>
    </w:p>
    <w:p>
      <w:pPr>
        <w:numPr>
          <w:ilvl w:val="0"/>
          <w:numId w:val="0"/>
        </w:numPr>
        <w:bidi w:val="0"/>
        <w:ind w:left="0" w:right="0" w:firstLine="0"/>
        <w:jc w:val="center"/>
        <w:outlineLvl w:val="0"/>
        <w:rPr>
          <w:b/>
          <w:color w:val="000000"/>
          <w:sz w:val="24"/>
        </w:rPr>
      </w:pPr>
      <w:r>
        <w:rPr>
          <w:b/>
          <w:color w:val="000000"/>
          <w:sz w:val="24"/>
        </w:rPr>
        <w:t>III  -  ОПИС ФУНКЦИЈА СТАРЕШИНА</w:t>
      </w:r>
    </w:p>
    <w:p>
      <w:pPr>
        <w:bidi w:val="0"/>
        <w:jc w:val="left"/>
        <w:rPr>
          <w:b/>
          <w:color w:val="000000"/>
          <w:sz w:val="24"/>
        </w:rPr>
      </w:pPr>
    </w:p>
    <w:p>
      <w:pPr>
        <w:numPr>
          <w:ilvl w:val="0"/>
          <w:numId w:val="0"/>
        </w:numPr>
        <w:bidi w:val="0"/>
        <w:ind w:left="0" w:right="0" w:firstLine="720"/>
        <w:jc w:val="both"/>
        <w:outlineLvl w:val="4"/>
        <w:rPr>
          <w:b/>
          <w:color w:val="000000"/>
          <w:sz w:val="24"/>
        </w:rPr>
      </w:pPr>
      <w:r>
        <w:rPr>
          <w:sz w:val="24"/>
          <w:lang w:val="sr-Cyrl-RS"/>
        </w:rPr>
        <w:t>Главни</w:t>
      </w:r>
      <w:r>
        <w:rPr>
          <w:rFonts w:hint="default"/>
          <w:sz w:val="24"/>
          <w:lang w:val="sr-Cyrl-RS"/>
        </w:rPr>
        <w:t xml:space="preserve"> ј</w:t>
      </w:r>
      <w:r>
        <w:rPr>
          <w:sz w:val="24"/>
        </w:rPr>
        <w:t xml:space="preserve">авни тужилац је носилац управе у јавном тужилаштву и одговоран за правилан и благовремен рад јавног тужилаштва. </w:t>
      </w:r>
      <w:r>
        <w:rPr>
          <w:sz w:val="24"/>
          <w:lang w:val="sr-Cyrl-RS"/>
        </w:rPr>
        <w:t>Главни</w:t>
      </w:r>
      <w:r>
        <w:rPr>
          <w:rFonts w:hint="default"/>
          <w:sz w:val="24"/>
          <w:lang w:val="sr-Cyrl-RS"/>
        </w:rPr>
        <w:t xml:space="preserve"> ј</w:t>
      </w:r>
      <w:r>
        <w:rPr>
          <w:sz w:val="24"/>
        </w:rPr>
        <w:t xml:space="preserve">авни тужилац одређује организацију и рад јавног тужилаштва, одлучује о правима по основу рада заменика јавног тужиоца и о радним односима особља у јавном тужилаштву, отклања неправилности и одуговлачење у раду, стара се о одржавању самосталности у раду и угледу јавног тужилаштва и врши друге послове на које је овлашћен законом и другим прописима. </w:t>
      </w:r>
    </w:p>
    <w:p>
      <w:pPr>
        <w:numPr>
          <w:ilvl w:val="0"/>
          <w:numId w:val="0"/>
        </w:numPr>
        <w:bidi w:val="0"/>
        <w:ind w:left="0" w:right="0" w:firstLine="720"/>
        <w:jc w:val="both"/>
        <w:outlineLvl w:val="4"/>
        <w:rPr>
          <w:b/>
          <w:color w:val="000000"/>
          <w:sz w:val="24"/>
        </w:rPr>
      </w:pPr>
    </w:p>
    <w:p>
      <w:pPr>
        <w:numPr>
          <w:ilvl w:val="0"/>
          <w:numId w:val="0"/>
        </w:numPr>
        <w:bidi w:val="0"/>
        <w:ind w:left="0" w:right="0" w:firstLine="0"/>
        <w:jc w:val="center"/>
        <w:outlineLvl w:val="0"/>
        <w:rPr>
          <w:color w:val="000000"/>
          <w:sz w:val="24"/>
        </w:rPr>
      </w:pPr>
      <w:bookmarkStart w:id="4" w:name="_Toc517172835"/>
      <w:bookmarkEnd w:id="4"/>
      <w:r>
        <w:rPr>
          <w:b/>
          <w:color w:val="000000"/>
          <w:sz w:val="24"/>
        </w:rPr>
        <w:t>IV  -  ОПИС ПРАВИЛА У ВЕЗИ СА ЈАВНОШЋУ РАДА</w:t>
      </w:r>
    </w:p>
    <w:p>
      <w:pPr>
        <w:bidi w:val="0"/>
        <w:jc w:val="left"/>
        <w:rPr>
          <w:color w:val="000000"/>
          <w:sz w:val="24"/>
        </w:rPr>
      </w:pPr>
    </w:p>
    <w:p>
      <w:pPr>
        <w:bidi w:val="0"/>
        <w:jc w:val="left"/>
        <w:rPr>
          <w:color w:val="000000"/>
          <w:sz w:val="24"/>
        </w:rPr>
      </w:pPr>
    </w:p>
    <w:p>
      <w:pPr>
        <w:numPr>
          <w:ilvl w:val="0"/>
          <w:numId w:val="0"/>
        </w:numPr>
        <w:bidi w:val="0"/>
        <w:ind w:left="0" w:right="0" w:firstLine="720"/>
        <w:jc w:val="both"/>
        <w:outlineLvl w:val="4"/>
        <w:rPr>
          <w:sz w:val="24"/>
        </w:rPr>
      </w:pPr>
      <w:r>
        <w:rPr>
          <w:sz w:val="24"/>
        </w:rPr>
        <w:t>Јавност рада јавног тужилаштва је регулисана Правилником о управи у јавним тужилаштвима ("Службени гласник РС", бр. 110/2009, 87/2010, 5/2012 и 54/2017) и другим прописима.</w:t>
      </w:r>
    </w:p>
    <w:p>
      <w:pPr>
        <w:numPr>
          <w:ilvl w:val="0"/>
          <w:numId w:val="0"/>
        </w:numPr>
        <w:bidi w:val="0"/>
        <w:ind w:left="0" w:right="0" w:firstLine="720"/>
        <w:jc w:val="both"/>
        <w:outlineLvl w:val="4"/>
        <w:rPr>
          <w:rFonts w:hint="default"/>
          <w:sz w:val="24"/>
          <w:lang w:val="en-US"/>
        </w:rPr>
      </w:pPr>
    </w:p>
    <w:p>
      <w:pPr>
        <w:numPr>
          <w:ilvl w:val="0"/>
          <w:numId w:val="0"/>
        </w:numPr>
        <w:bidi w:val="0"/>
        <w:ind w:left="0" w:right="0" w:firstLine="720"/>
        <w:jc w:val="both"/>
        <w:outlineLvl w:val="4"/>
        <w:rPr>
          <w:sz w:val="24"/>
        </w:rPr>
      </w:pPr>
      <w:r>
        <w:rPr>
          <w:sz w:val="24"/>
        </w:rPr>
        <w:t>Јавно тужилаштво обавештава јавност о стању криминалитета и другим појавама које запази у раду, увек када за то постоји потреба. Када сматра да јавност треба да буде упозната са поступањем јавног тужилаштва, јавни тужилац ће о томе обавестити јавност под условом да тиме не штети интересима поступка или не угрожава приватност учесника поступка. Јавно тужилаштво обавештава јавност о питањима из своје надлежности. Изузетно, више јавно тужилаштво може обавештавати јавност о питањима из надлежности нижег јавног тужилаштва.</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Обавештавање јавности врши </w:t>
      </w:r>
      <w:r>
        <w:rPr>
          <w:sz w:val="24"/>
          <w:lang w:val="sr-Cyrl-RS"/>
        </w:rPr>
        <w:t>главни</w:t>
      </w:r>
      <w:r>
        <w:rPr>
          <w:rFonts w:hint="default"/>
          <w:sz w:val="24"/>
          <w:lang w:val="sr-Cyrl-RS"/>
        </w:rPr>
        <w:t xml:space="preserve"> </w:t>
      </w:r>
      <w:r>
        <w:rPr>
          <w:sz w:val="24"/>
        </w:rPr>
        <w:t xml:space="preserve">јавни тужилац, лице задужено за спровођење спољне комуникације у Основном јавном тужилаштву у Куршумлији. </w:t>
      </w:r>
      <w:r>
        <w:rPr>
          <w:sz w:val="24"/>
          <w:lang w:val="sr-Cyrl-RS"/>
        </w:rPr>
        <w:t>Ј</w:t>
      </w:r>
      <w:r>
        <w:rPr>
          <w:sz w:val="24"/>
        </w:rPr>
        <w:t xml:space="preserve">авни тужилац или лице задужено за спровођење спољне комуникације у Основном јавном тужилаштву у Куршумлији обавештава јавност путем усмених или писмених саопштења и изјава или путем јавних гласила или на други погодан начин, о покретању поступка у случајевима за које се интересује шира јавност, водећи при том рачуна о интересима правилног вођења поступка и оправданој заштити личности на које се подаци односе.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Јавни тужилац обавештава јавност на начин који неће довести до одавања тајних података. Приликом обавештавања јавности води се рачуна о интересима морала, јавног поретка, националне безбедности, заштити малолетних лица, приватног живота и националним осећањима.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color w:val="000000"/>
          <w:sz w:val="24"/>
        </w:rPr>
      </w:pPr>
      <w:r>
        <w:rPr>
          <w:sz w:val="24"/>
        </w:rPr>
        <w:t xml:space="preserve">Јавним гласилима омогућава се приступ јавном тужиоцу или лицу задуженом за спровођење спољне комуникације у Основном јавном тужилаштву у Куршумлији. </w:t>
      </w:r>
    </w:p>
    <w:p>
      <w:pPr>
        <w:numPr>
          <w:ilvl w:val="0"/>
          <w:numId w:val="0"/>
        </w:numPr>
        <w:bidi w:val="0"/>
        <w:ind w:left="0" w:right="0" w:firstLine="720"/>
        <w:jc w:val="both"/>
        <w:outlineLvl w:val="4"/>
        <w:rPr>
          <w:color w:val="000000"/>
          <w:sz w:val="24"/>
        </w:rPr>
      </w:pPr>
    </w:p>
    <w:p>
      <w:pPr>
        <w:numPr>
          <w:ilvl w:val="0"/>
          <w:numId w:val="0"/>
        </w:numPr>
        <w:bidi w:val="0"/>
        <w:ind w:left="0" w:right="0" w:firstLine="720"/>
        <w:jc w:val="both"/>
        <w:outlineLvl w:val="4"/>
        <w:rPr>
          <w:color w:val="000000"/>
          <w:sz w:val="24"/>
        </w:rPr>
      </w:pPr>
      <w:r>
        <w:rPr>
          <w:sz w:val="24"/>
        </w:rPr>
        <w:t>Подаци везани за јавност рада Основног јавног тужилаштва у Куршумлији:</w:t>
      </w:r>
    </w:p>
    <w:p>
      <w:pPr>
        <w:numPr>
          <w:ilvl w:val="0"/>
          <w:numId w:val="0"/>
        </w:numPr>
        <w:bidi w:val="0"/>
        <w:ind w:left="0" w:right="0" w:firstLine="720"/>
        <w:jc w:val="both"/>
        <w:outlineLvl w:val="4"/>
        <w:rPr>
          <w:color w:val="000000"/>
          <w:sz w:val="24"/>
        </w:rPr>
      </w:pPr>
    </w:p>
    <w:p>
      <w:pPr>
        <w:numPr>
          <w:ilvl w:val="0"/>
          <w:numId w:val="0"/>
        </w:numPr>
        <w:bidi w:val="0"/>
        <w:ind w:left="0" w:right="0" w:firstLine="0"/>
        <w:jc w:val="both"/>
        <w:outlineLvl w:val="4"/>
        <w:rPr>
          <w:sz w:val="24"/>
        </w:rPr>
      </w:pPr>
      <w:r>
        <w:rPr>
          <w:sz w:val="24"/>
        </w:rPr>
        <w:t xml:space="preserve">1. Порески идентификациони број: </w:t>
      </w:r>
      <w:r>
        <w:rPr>
          <w:color w:val="000000"/>
          <w:sz w:val="24"/>
        </w:rPr>
        <w:t>108347993</w:t>
      </w:r>
      <w:r>
        <w:rPr>
          <w:sz w:val="24"/>
        </w:rPr>
        <w:t xml:space="preserve">; </w:t>
      </w:r>
    </w:p>
    <w:p>
      <w:pPr>
        <w:numPr>
          <w:ilvl w:val="0"/>
          <w:numId w:val="0"/>
        </w:numPr>
        <w:bidi w:val="0"/>
        <w:ind w:left="0" w:right="0" w:firstLine="0"/>
        <w:jc w:val="both"/>
        <w:outlineLvl w:val="4"/>
        <w:rPr>
          <w:sz w:val="24"/>
        </w:rPr>
      </w:pPr>
      <w:r>
        <w:rPr>
          <w:sz w:val="24"/>
        </w:rPr>
        <w:t xml:space="preserve">2. Радно време: од 7,30 до 15,30 часова; </w:t>
      </w:r>
    </w:p>
    <w:p>
      <w:pPr>
        <w:numPr>
          <w:ilvl w:val="0"/>
          <w:numId w:val="0"/>
        </w:numPr>
        <w:bidi w:val="0"/>
        <w:ind w:left="0" w:right="0" w:firstLine="0"/>
        <w:jc w:val="both"/>
        <w:outlineLvl w:val="4"/>
        <w:rPr>
          <w:sz w:val="24"/>
        </w:rPr>
      </w:pPr>
      <w:r>
        <w:rPr>
          <w:sz w:val="24"/>
        </w:rPr>
        <w:t xml:space="preserve">3. Физичка и електронска адреса и контакт телефон Основног јавног тужилаштва у Куршумлији: Куршумлија, ул. Палих бораца бр. 29, </w:t>
      </w:r>
      <w:r>
        <w:rPr>
          <w:sz w:val="24"/>
        </w:rPr>
        <w:fldChar w:fldCharType="begin"/>
      </w:r>
      <w:r>
        <w:rPr>
          <w:sz w:val="24"/>
        </w:rPr>
        <w:instrText xml:space="preserve"> HYPERLINK "mailto:оjtkursumlija1@gmail.com," </w:instrText>
      </w:r>
      <w:r>
        <w:rPr>
          <w:sz w:val="24"/>
        </w:rPr>
        <w:fldChar w:fldCharType="separate"/>
      </w:r>
      <w:r>
        <w:rPr>
          <w:rStyle w:val="8"/>
          <w:sz w:val="24"/>
        </w:rPr>
        <w:t>оjtkursumlija1@gmail.com,</w:t>
      </w:r>
      <w:r>
        <w:rPr>
          <w:sz w:val="24"/>
        </w:rPr>
        <w:fldChar w:fldCharType="end"/>
      </w:r>
      <w:r>
        <w:rPr>
          <w:rFonts w:hint="default"/>
          <w:sz w:val="24"/>
          <w:lang w:val="sr-Cyrl-RS"/>
        </w:rPr>
        <w:t xml:space="preserve"> </w:t>
      </w:r>
      <w:r>
        <w:rPr>
          <w:rFonts w:hint="default"/>
          <w:sz w:val="24"/>
          <w:lang w:val="sr-Cyrl-RS"/>
        </w:rPr>
        <w:fldChar w:fldCharType="begin"/>
      </w:r>
      <w:r>
        <w:rPr>
          <w:rFonts w:hint="default"/>
          <w:sz w:val="24"/>
          <w:lang w:val="sr-Cyrl-RS"/>
        </w:rPr>
        <w:instrText xml:space="preserve"> HYPERLINK "mailto:uprava@kursumlija.ojt.rs," </w:instrText>
      </w:r>
      <w:r>
        <w:rPr>
          <w:rFonts w:hint="default"/>
          <w:sz w:val="24"/>
          <w:lang w:val="sr-Cyrl-RS"/>
        </w:rPr>
        <w:fldChar w:fldCharType="separate"/>
      </w:r>
      <w:r>
        <w:rPr>
          <w:rStyle w:val="8"/>
          <w:rFonts w:hint="default"/>
          <w:sz w:val="24"/>
          <w:lang w:val="sr-Cyrl-RS"/>
        </w:rPr>
        <w:t>uprava@kursumlija.ojt.rs,</w:t>
      </w:r>
      <w:r>
        <w:rPr>
          <w:rFonts w:hint="default"/>
          <w:sz w:val="24"/>
          <w:lang w:val="sr-Cyrl-RS"/>
        </w:rPr>
        <w:fldChar w:fldCharType="end"/>
      </w:r>
      <w:r>
        <w:rPr>
          <w:rFonts w:hint="default"/>
          <w:sz w:val="24"/>
          <w:lang w:val="sr-Cyrl-RS"/>
        </w:rPr>
        <w:t xml:space="preserve"> </w:t>
      </w:r>
      <w:r>
        <w:rPr>
          <w:sz w:val="24"/>
        </w:rPr>
        <w:t xml:space="preserve"> 027/381-047, факс: 027/389-016; </w:t>
      </w:r>
    </w:p>
    <w:p>
      <w:pPr>
        <w:numPr>
          <w:ilvl w:val="0"/>
          <w:numId w:val="0"/>
        </w:numPr>
        <w:bidi w:val="0"/>
        <w:ind w:left="0" w:right="0" w:firstLine="0"/>
        <w:jc w:val="both"/>
        <w:outlineLvl w:val="4"/>
        <w:rPr>
          <w:sz w:val="24"/>
        </w:rPr>
      </w:pPr>
      <w:r>
        <w:rPr>
          <w:sz w:val="24"/>
        </w:rPr>
        <w:t xml:space="preserve">4. Контакт подаци лица која су овлашћена за сарадњу са новинарима и јавним гласилима: </w:t>
      </w:r>
      <w:r>
        <w:rPr>
          <w:sz w:val="24"/>
          <w:lang w:val="sr-Cyrl-RS"/>
        </w:rPr>
        <w:t>В</w:t>
      </w:r>
      <w:r>
        <w:rPr>
          <w:rFonts w:hint="default"/>
          <w:sz w:val="24"/>
          <w:lang w:val="sr-Cyrl-RS"/>
        </w:rPr>
        <w:t xml:space="preserve">.Ф главног јавног тужиоца </w:t>
      </w:r>
      <w:r>
        <w:rPr>
          <w:sz w:val="24"/>
        </w:rPr>
        <w:t>Биљана Милосављ</w:t>
      </w:r>
      <w:r>
        <w:rPr>
          <w:sz w:val="24"/>
          <w:lang w:val="sr-Cyrl-RS"/>
        </w:rPr>
        <w:t>е</w:t>
      </w:r>
      <w:r>
        <w:rPr>
          <w:sz w:val="24"/>
        </w:rPr>
        <w:t xml:space="preserve">вић; </w:t>
      </w:r>
    </w:p>
    <w:p>
      <w:pPr>
        <w:numPr>
          <w:ilvl w:val="0"/>
          <w:numId w:val="0"/>
        </w:numPr>
        <w:bidi w:val="0"/>
        <w:ind w:left="0" w:right="0" w:firstLine="0"/>
        <w:jc w:val="both"/>
        <w:outlineLvl w:val="4"/>
        <w:rPr>
          <w:sz w:val="24"/>
        </w:rPr>
      </w:pPr>
      <w:r>
        <w:rPr>
          <w:sz w:val="24"/>
        </w:rPr>
        <w:t xml:space="preserve">5. Изглед идентификационих обележја запослених у органу који могу доћи у додир са грађанима по природи свог посла: у Основном јавном тужилаштву у Куршумлији запослени не поседују посебна идентификациона обележја, носиоци јавнотужилачке функције сходно члану 9. и члану 10. Правилника о допунама Правилника о управи у јавним тужилаштвима ("Службени гласник РС", бр. 110/2009, 87/2010, 5/2012 и 54/2017) поседују службене легитимације, које су детаљније описане у наведеном Правилнику; </w:t>
      </w:r>
    </w:p>
    <w:p>
      <w:pPr>
        <w:numPr>
          <w:ilvl w:val="0"/>
          <w:numId w:val="0"/>
        </w:numPr>
        <w:bidi w:val="0"/>
        <w:ind w:left="0" w:right="0" w:firstLine="0"/>
        <w:jc w:val="both"/>
        <w:outlineLvl w:val="4"/>
        <w:rPr>
          <w:sz w:val="24"/>
        </w:rPr>
      </w:pPr>
      <w:r>
        <w:rPr>
          <w:sz w:val="24"/>
        </w:rPr>
        <w:t xml:space="preserve">6. Опис приступачности просторија за рад лицима са инвалидитетом: зграда у којој се налази Основно јавно тужилаштво у Куршумлији нема прилазну рампу нити лифт; </w:t>
      </w:r>
    </w:p>
    <w:p>
      <w:pPr>
        <w:numPr>
          <w:ilvl w:val="0"/>
          <w:numId w:val="0"/>
        </w:numPr>
        <w:bidi w:val="0"/>
        <w:ind w:left="0" w:right="0" w:firstLine="0"/>
        <w:jc w:val="both"/>
        <w:outlineLvl w:val="4"/>
        <w:rPr>
          <w:sz w:val="24"/>
        </w:rPr>
      </w:pPr>
      <w:r>
        <w:rPr>
          <w:sz w:val="24"/>
        </w:rPr>
        <w:t xml:space="preserve">7. У Основном јавном тужилаштву у Куршумлији не постоји могућност присуствовања седницама и непосредног увида у рад тужилаштва;  </w:t>
      </w:r>
    </w:p>
    <w:p>
      <w:pPr>
        <w:numPr>
          <w:ilvl w:val="0"/>
          <w:numId w:val="0"/>
        </w:numPr>
        <w:bidi w:val="0"/>
        <w:ind w:left="0" w:right="0" w:firstLine="0"/>
        <w:jc w:val="both"/>
        <w:outlineLvl w:val="4"/>
        <w:rPr>
          <w:color w:val="000000"/>
          <w:sz w:val="24"/>
        </w:rPr>
      </w:pPr>
      <w:r>
        <w:rPr>
          <w:sz w:val="24"/>
        </w:rPr>
        <w:t>8. У Основном јавном тужилаштву у Куршумлији није допуштено аудио и видео снимања објеката које користи државни орган и активности државног органа;</w:t>
      </w:r>
    </w:p>
    <w:p>
      <w:pPr>
        <w:numPr>
          <w:ilvl w:val="0"/>
          <w:numId w:val="0"/>
        </w:numPr>
        <w:bidi w:val="0"/>
        <w:ind w:left="0" w:right="0" w:firstLine="0"/>
        <w:jc w:val="both"/>
        <w:outlineLvl w:val="4"/>
        <w:rPr>
          <w:color w:val="000000"/>
          <w:sz w:val="24"/>
        </w:rPr>
      </w:pPr>
    </w:p>
    <w:p>
      <w:pPr>
        <w:numPr>
          <w:ilvl w:val="0"/>
          <w:numId w:val="0"/>
        </w:numPr>
        <w:bidi w:val="0"/>
        <w:ind w:left="0" w:right="0" w:firstLine="0"/>
        <w:jc w:val="center"/>
        <w:outlineLvl w:val="0"/>
        <w:rPr>
          <w:b/>
          <w:color w:val="000000"/>
          <w:sz w:val="24"/>
        </w:rPr>
      </w:pPr>
      <w:bookmarkStart w:id="5" w:name="_Toc517172836"/>
      <w:r>
        <w:rPr>
          <w:b/>
          <w:color w:val="000000"/>
          <w:sz w:val="24"/>
        </w:rPr>
        <w:t xml:space="preserve">V  -  </w:t>
      </w:r>
      <w:bookmarkEnd w:id="5"/>
      <w:r>
        <w:rPr>
          <w:b/>
          <w:sz w:val="24"/>
        </w:rPr>
        <w:t>СПИСАК НАЈЧЕШЋЕ ТРАЖЕНИХ ИНФОРМАЦИЈА ОД ЈАВНОГ ЗНАЧАЈА</w:t>
      </w:r>
    </w:p>
    <w:p>
      <w:pPr>
        <w:tabs>
          <w:tab w:val="left" w:pos="240"/>
        </w:tabs>
        <w:bidi w:val="0"/>
        <w:jc w:val="left"/>
        <w:rPr>
          <w:b/>
          <w:color w:val="000000"/>
          <w:sz w:val="24"/>
        </w:rPr>
      </w:pPr>
      <w:r>
        <w:rPr>
          <w:b/>
          <w:color w:val="000000"/>
          <w:sz w:val="24"/>
        </w:rPr>
        <w:tab/>
      </w:r>
    </w:p>
    <w:p>
      <w:pPr>
        <w:numPr>
          <w:ilvl w:val="0"/>
          <w:numId w:val="0"/>
        </w:numPr>
        <w:bidi w:val="0"/>
        <w:ind w:left="0" w:right="0" w:firstLine="720"/>
        <w:jc w:val="both"/>
        <w:outlineLvl w:val="4"/>
        <w:rPr>
          <w:sz w:val="24"/>
        </w:rPr>
      </w:pPr>
      <w:r>
        <w:rPr>
          <w:sz w:val="24"/>
        </w:rPr>
        <w:t>У Основном јавном тужилаштву у Куршумлији најчешће тражене информације од јавног значаја тичу се захтева за увид у предмете овог тужилаштва и евентуално копирање и доставу списа којима располаже тужилаштво.</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Пример поступка за добијање информације од јавног значаја, а које се тичу захтева за увид, фотокопирање и доставу списа:</w:t>
      </w:r>
    </w:p>
    <w:p>
      <w:pPr>
        <w:numPr>
          <w:ilvl w:val="0"/>
          <w:numId w:val="0"/>
        </w:numPr>
        <w:bidi w:val="0"/>
        <w:ind w:left="0" w:right="0" w:firstLine="720"/>
        <w:jc w:val="both"/>
        <w:outlineLvl w:val="4"/>
        <w:rPr>
          <w:sz w:val="24"/>
        </w:rPr>
      </w:pPr>
    </w:p>
    <w:p>
      <w:pPr>
        <w:numPr>
          <w:ilvl w:val="0"/>
          <w:numId w:val="1"/>
        </w:numPr>
        <w:bidi w:val="0"/>
        <w:jc w:val="both"/>
        <w:outlineLvl w:val="4"/>
        <w:rPr>
          <w:sz w:val="24"/>
        </w:rPr>
      </w:pPr>
      <w:r>
        <w:rPr>
          <w:sz w:val="24"/>
        </w:rPr>
        <w:t>тражилац информације на обрасцу за приступ информацијама који може добити у пријемној канцелари Основног јавног тужилаштва у Куршумлији, попуњава неопходне податке, што прецизније, а које се односе на тражену информацију како би се по захтеву могло поступити. Тражилац не мора образложити свој захтев</w:t>
      </w:r>
    </w:p>
    <w:p>
      <w:pPr>
        <w:numPr>
          <w:ilvl w:val="0"/>
          <w:numId w:val="0"/>
        </w:numPr>
        <w:bidi w:val="0"/>
        <w:ind w:left="0" w:right="0" w:firstLine="720"/>
        <w:jc w:val="both"/>
        <w:outlineLvl w:val="4"/>
        <w:rPr>
          <w:sz w:val="24"/>
        </w:rPr>
      </w:pPr>
    </w:p>
    <w:p>
      <w:pPr>
        <w:numPr>
          <w:ilvl w:val="0"/>
          <w:numId w:val="1"/>
        </w:numPr>
        <w:bidi w:val="0"/>
        <w:jc w:val="both"/>
        <w:outlineLvl w:val="4"/>
        <w:rPr>
          <w:sz w:val="24"/>
        </w:rPr>
      </w:pPr>
      <w:r>
        <w:rPr>
          <w:sz w:val="24"/>
        </w:rPr>
        <w:t xml:space="preserve">након разматрања захтева </w:t>
      </w:r>
      <w:r>
        <w:rPr>
          <w:sz w:val="24"/>
          <w:lang w:val="sr-Cyrl-RS"/>
        </w:rPr>
        <w:t>Главни</w:t>
      </w:r>
      <w:r>
        <w:rPr>
          <w:sz w:val="24"/>
        </w:rPr>
        <w:t xml:space="preserve"> јавни тужилац ће тражиоцу информације доставити поуку о томе где и када може извршити увид у тражену информацију. У случају да се захтева и достављање фотокопије, тражилац информације ће се поучити о томе да ли може добити фотокопију у просторијама тужилаштва без надокнаде или ће бити дужан да сноси трошкове фотокопирања.</w:t>
      </w:r>
    </w:p>
    <w:p>
      <w:pPr>
        <w:pStyle w:val="12"/>
        <w:numPr>
          <w:ilvl w:val="0"/>
          <w:numId w:val="0"/>
        </w:numPr>
        <w:bidi w:val="0"/>
        <w:ind w:left="720" w:right="0" w:firstLine="0"/>
        <w:jc w:val="left"/>
        <w:outlineLvl w:val="4"/>
        <w:rPr>
          <w:sz w:val="24"/>
        </w:rPr>
      </w:pPr>
    </w:p>
    <w:p>
      <w:pPr>
        <w:numPr>
          <w:ilvl w:val="0"/>
          <w:numId w:val="1"/>
        </w:numPr>
        <w:bidi w:val="0"/>
        <w:jc w:val="both"/>
        <w:outlineLvl w:val="4"/>
        <w:rPr>
          <w:sz w:val="24"/>
        </w:rPr>
      </w:pPr>
      <w:r>
        <w:rPr>
          <w:sz w:val="24"/>
        </w:rPr>
        <w:t>након разматрања захтева, тражилац информације ће бити обавештен да ли исту може да добије и на који начин.</w:t>
      </w:r>
    </w:p>
    <w:p>
      <w:pPr>
        <w:numPr>
          <w:ilvl w:val="0"/>
          <w:numId w:val="0"/>
        </w:numPr>
        <w:bidi w:val="0"/>
        <w:ind w:left="0" w:right="0" w:firstLine="360"/>
        <w:jc w:val="both"/>
        <w:outlineLvl w:val="4"/>
        <w:rPr>
          <w:color w:val="FF0000"/>
          <w:sz w:val="24"/>
        </w:rPr>
      </w:pPr>
    </w:p>
    <w:p>
      <w:pPr>
        <w:numPr>
          <w:ilvl w:val="0"/>
          <w:numId w:val="0"/>
        </w:numPr>
        <w:bidi w:val="0"/>
        <w:ind w:left="0" w:right="0" w:firstLine="360"/>
        <w:jc w:val="both"/>
        <w:outlineLvl w:val="4"/>
        <w:rPr>
          <w:sz w:val="24"/>
        </w:rPr>
      </w:pPr>
    </w:p>
    <w:p>
      <w:pPr>
        <w:numPr>
          <w:ilvl w:val="0"/>
          <w:numId w:val="0"/>
        </w:numPr>
        <w:bidi w:val="0"/>
        <w:ind w:left="0" w:right="0" w:firstLine="0"/>
        <w:jc w:val="center"/>
        <w:outlineLvl w:val="0"/>
        <w:rPr>
          <w:b/>
          <w:sz w:val="24"/>
        </w:rPr>
      </w:pPr>
      <w:bookmarkStart w:id="6" w:name="_Toc517172837"/>
      <w:bookmarkEnd w:id="6"/>
      <w:r>
        <w:rPr>
          <w:b/>
          <w:sz w:val="24"/>
        </w:rPr>
        <w:t>VI  -  ОПИС НАДЛЕЖНОСТИ, ОВЛАШЋЕЊА И ОБАВЕЗА</w:t>
      </w:r>
    </w:p>
    <w:p>
      <w:pPr>
        <w:bidi w:val="0"/>
        <w:jc w:val="left"/>
        <w:rPr>
          <w:b/>
          <w:sz w:val="24"/>
        </w:rPr>
      </w:pPr>
    </w:p>
    <w:p>
      <w:pPr>
        <w:bidi w:val="0"/>
        <w:jc w:val="left"/>
        <w:rPr>
          <w:b/>
          <w:sz w:val="24"/>
        </w:rPr>
      </w:pPr>
    </w:p>
    <w:p>
      <w:pPr>
        <w:numPr>
          <w:ilvl w:val="0"/>
          <w:numId w:val="0"/>
        </w:numPr>
        <w:bidi w:val="0"/>
        <w:ind w:left="0" w:right="0" w:firstLine="720"/>
        <w:jc w:val="both"/>
        <w:outlineLvl w:val="4"/>
        <w:rPr>
          <w:sz w:val="24"/>
        </w:rPr>
      </w:pPr>
      <w:r>
        <w:rPr>
          <w:sz w:val="24"/>
        </w:rPr>
        <w:t xml:space="preserve">Основно јавно тужилаштво у Куршумлији је самостални државни орган који гони учиниоце кривичних дела и других кажњивих дела и улагањем правних средстава, штити уставност и законитост и предузима друге радње на које је законом овлашћено.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Код гоњења за кривична дела, привредне преступе и прекршаје, јавни тужилац поступа пред судом и другим државним органом, предузимајући радње на које је законом овлашћен.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Јавни тужилац поступа у парничном, управном, ванпарничном и другом поступку, вршећи при том радње на које је посебним законом овлашћен.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Јавни тужилац поступа у границама своје стварне и месне надлежности, у оквиру надлежности органа пред којим поступа. Основно јавно тужилаштво у Куршумлији врши своју функцију на основу Устава, закона и потврђених међународних уговора и прописа донетих на основу закона.</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Основни јавни тужилац врши надлежност Основног јавног тужилаштва и надлежан је да поступа пред Основним судом у Куршумлији и другим судовима и органима на начин прописан законом.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Основно јавно тужилаштво у Куршумлији поступа пред Основним судом у Куршумлији, као стварно и месно надлежним судом.</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b/>
          <w:sz w:val="24"/>
        </w:rPr>
        <w:t>Месна надлежност</w:t>
      </w:r>
      <w:r>
        <w:rPr>
          <w:sz w:val="24"/>
        </w:rPr>
        <w:t xml:space="preserve">: </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 xml:space="preserve">Месна надлежност Основног јавног тужилаштва у Куршумлији одређује се у складу са одредбама Законика о кривичном поступку које важе за утврђивање месне надлежности суда пред којим јавни тужилац поступа. </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b/>
          <w:sz w:val="24"/>
        </w:rPr>
        <w:t>Стварна надлежност</w:t>
      </w:r>
      <w:r>
        <w:rPr>
          <w:sz w:val="24"/>
        </w:rPr>
        <w:t xml:space="preserve">: </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 xml:space="preserve">Стварна надлежност јавног тужилаштва прописана је чланом </w:t>
      </w:r>
      <w:r>
        <w:rPr>
          <w:rFonts w:hint="default"/>
          <w:sz w:val="24"/>
          <w:lang w:val="sr-Cyrl-RS"/>
        </w:rPr>
        <w:t>25</w:t>
      </w:r>
      <w:r>
        <w:rPr>
          <w:sz w:val="24"/>
        </w:rPr>
        <w:t xml:space="preserve">. Закона о јавном тужилаштву и одређује се у складу са одредбама које важе за утврђивање стварне надлежности суда (Закон о уређењу судова) пред којим јавно тужилаштво поступа, осим када законом није другачије одређено. </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Основно јавно тужилаштво у Куршумлији гони учиниоце кривичних дела за које је као главна предвиђена новчана казна или казна затвора до десет и десет година, ако за поједина од њих није надлежно друго тужилаштво, учествује у поступку за изрицање мере безбедности и престанак мере безбедности и правне последице особе за кривична дела из своје надлежности.</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Чланом 43. Законика о кривичном поступку дефинисана су права и дужности јавног тужиоца, те је основно право и дужност гоњење учинилаца кривичних дела, те, за кривична дела за која се гоњење предузима по службеној дужности, јавни тужилац је надлежан да руководи предистражним поступком, одлучује о непредузимању или одлагању кривичног гоњења, спроводи истрагу, закључује споразум о признању кривичног дела и споразум о сведочењу, подиже и заступа оптужбу пред надлежним судом, одустане од оптужбе, изјављује жалбе против неправноснажних судских одлука и подноси ванредне правне лекове против правноснажних судских одлука, те предузима и друге радње када је на то законом овлашћен.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Ако јавни тужилац из саме кривичне пријаве не може оценити да ли су вероватни наводи пријаве или ако подаци у пријави не пружају довољно основа да може одлучити да ли ће спровести истрагу или ако је на други начин сазнао да је извршено кривично дело, јавни тужилац може сам или преко полиције прикупити потребне податке позивати грађане ради давања потребних обавештења, поднети захтев државним и другим органима и правним лицима да му пруже потребна обавештења.</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Јавни тужилац ће решењем одбацити кривичну пријаву ако из саме пријаве про</w:t>
      </w:r>
      <w:r>
        <w:rPr>
          <w:sz w:val="24"/>
          <w:lang w:val="sr-Cyrl-RS"/>
        </w:rPr>
        <w:t>и</w:t>
      </w:r>
      <w:r>
        <w:rPr>
          <w:sz w:val="24"/>
        </w:rPr>
        <w:t xml:space="preserve">стиче да: пријављено дело није кривично дело за које се гони по службеној дужности; ако је наступила застарелост кривичног гоњења или дело обухваћено амнестијом или помиловањем или постоје друге околности које трајно искључују гоњење и не постоје основи сумње да је учињено кривично дело за које се гони по службеној дужности. У случају кривичних дела за која је прописана казна затвора до три године, јавни тужилац може одбацити кривичну пријаву ако је осумњичени услед стварног кајања спречио наступање штете или је штету у потпуности већ надокнадио, а јавни тужилац према околностима случаја оцени да изрицање кривичне санкције не би било правично. О одбацивању пријаве, као и о разлозима за то, јавни тужилац ће обавестити оштећеног у року од осам дана и поучити га да може, у року од осам дана од дана пријема обавештења поднети приговор непосредно вишем јавном тужиоцу, а ако је кривичну пријаву поднео орган полиције, обавестиће и тај орган. Истрага се покреће против одређеног лица за које постоје основи сумње да је учинило кривично дело или против непознатог учиниоца када постоје основи сумње да је учињено кривично дело.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Истрага се покреће наредбом надлежног јавног тужиоца, која се доставља осумњиченом и његовом браниоцу ако га има, заједно са позивом односно обавештењем о првој доказној радњи којој могу присуствовати. О покретању истраге, јавни тужилац обавештава и оштећеног. Истрагу спроводи надлежни јавни тужилац. Ако се у току истраге покаже да поступак треба проширити на које друго кривично дело или против другог лица, јавни тужилац ће наредбом проширити истрагу. Истрага ће се прекинути ако је код осумњиченог после учињеног кривичног дела наступило душевно обољење или душевна поремећеност или каква друга тешка болест због које не може да учествује у поступку и уколико нема предлога оштећеног или одобрења надлежног државног органа за гоњење, или се појаве друге околности које привремено спречавају гоњење. Истрага се може прекинути ако се не зна боравиште осумњиченог и ако је осумњичени у бекству или иначе није достижан државним органима. Јавни тужилац може у току истраге да одустане од гоњења осумњиченог и обустави истрагу ако дело које је предмет оптужбе није кривично дело а нема услова за примену мера безбедности или ако је кривично гоњење застарело или дело обухваћено амнестијом или помиловањем или постоје друге околности које трајно искључују кривично гоњење или нема довољно доказа за оптужење. Када нађе да је стање ствари у истрази довољно разјашњено јавни тужилац ће донети наредбу о завршетку истраге коју ће доставити осумњиченом и његовом браниоцу, ако га има, и обавестиће оштећеног о завршетку истраге. Када утврди да је након завршетка истраге потребно предузети нове доказне радње, јавни тужилац ће донети наредбу о допуни истраге.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Ако јавни тужилац не заврши истрагу против осумњиченог у року од шест месеци, а када је реч о кривичном делу за које је посебним законом одређено да поступа јавно тужилаштво посебне надлежности у року од једне године, дужан је да обавести непосредно вишег јавног тужиоца о разлозима због којих истрага није окончана.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Ако јавни тужилац по завршетку истраге одустане од кривичног гоњења обавестиће о томе осумњиченог и оштећеног и поучити га да може, у року од осам дана од дана пријема обавештења, поднети приговор непосредно вишем јавном тужиоцу.</w:t>
      </w:r>
    </w:p>
    <w:p>
      <w:pPr>
        <w:numPr>
          <w:ilvl w:val="0"/>
          <w:numId w:val="0"/>
        </w:numPr>
        <w:bidi w:val="0"/>
        <w:ind w:left="0" w:right="0" w:firstLine="720"/>
        <w:jc w:val="both"/>
        <w:outlineLvl w:val="4"/>
        <w:rPr>
          <w:color w:val="000000"/>
          <w:sz w:val="24"/>
        </w:rPr>
      </w:pPr>
    </w:p>
    <w:p>
      <w:pPr>
        <w:numPr>
          <w:ilvl w:val="0"/>
          <w:numId w:val="0"/>
        </w:numPr>
        <w:bidi w:val="0"/>
        <w:ind w:left="0" w:right="0" w:firstLine="720"/>
        <w:jc w:val="both"/>
        <w:outlineLvl w:val="4"/>
        <w:rPr>
          <w:sz w:val="24"/>
        </w:rPr>
      </w:pPr>
      <w:r>
        <w:rPr>
          <w:sz w:val="24"/>
        </w:rPr>
        <w:t xml:space="preserve">Када постоји оправдана сумња да је одређено лице учинило кривично дело, јавни тужилац подноси оптужни предлог Основном суду у Куршумлији, а за кривична дела за која је прописана казна затвора до осам године, а за кривична дела за која је прописана казна затвора преко осам а до десет година подиже оптужницу и подноси је ванрасправном већу Основног суда у Куршумлији ради испитивања оптужнице, које, уколико не донесе ни једно решење из чл. 340 ЗКП ће решењем потврдити оптужницу. Председник већа одмах после пријема потврђене оптужнице започиње припреме за главни претрес које обухватају одржавање припремног рочишта, одређивање главног претреса и доношење других одлука које се односе на управљање поступком.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Након завршеног главног претреса на коме јавни тужилац заступа оптужни предлог односно оптужницу, предлаже доказе за које је накнадно сазнао, испитује окривљеног и сведоке, суд доноси пресуду. Јавни тужилац је овлашћен да пре доношења пресуде одустане од кривичног гоњења против оптуженог.</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Против првостепене пресуде суда јавни тужилац може изјавити жалбу како на штету, тако и у корист окривљеног. Против пресуде другостепеног суда по правилу се не може изјавити жалба као редовни правни лек. Жалба се може изјавити ако је другостепени суд преиначио пресуду првостепеног суда којом је оптужени ослобођен оптужбе и изрекао пресуду којом се оптужени оглашава кривим.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Против правноснажних судских одлука могу се улагати ванредни правни лекови. Законик о кривичном поступку прописује два ванредна правна лека: захтев за понављање кривичног поступка и захтев за заштиту законитости. Ванредним правним лековима се судске одлуке могу мењати само у корист оптуженог.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color w:val="000000"/>
          <w:sz w:val="24"/>
        </w:rPr>
      </w:pPr>
      <w:r>
        <w:rPr>
          <w:sz w:val="24"/>
        </w:rPr>
        <w:t>Споразум о признању кривичног дела јавни тужилац и окривљени могу закључити од доношења наредбе о спровођењу истраге па до завршетка главног претреса. Споразум о признању кривичног дела сачињен у писаном облику јавни тужилац подноси пре подношења оптужног предлога, односно до потврђивања оптужнице – судији за претходни поступак, а након подношења оптужног предлога, односно потврђивања оптужнице – председнику већа. Одлука о споразуму о признању кривичног дела доноси се на рочишту на које се позивају јавни тужилац, окривљени и његов бранилац. Суд може да донесе решење којим ће да одбаци споразум, пресуду којом ће прихватити споразум и огласити окривљеног кривим и решење којим ће одбити споразум о признању кривичног дела.</w:t>
      </w:r>
    </w:p>
    <w:p>
      <w:pPr>
        <w:numPr>
          <w:ilvl w:val="0"/>
          <w:numId w:val="0"/>
        </w:numPr>
        <w:bidi w:val="0"/>
        <w:ind w:left="0" w:right="0" w:firstLine="720"/>
        <w:jc w:val="both"/>
        <w:outlineLvl w:val="4"/>
        <w:rPr>
          <w:color w:val="000000"/>
          <w:sz w:val="24"/>
        </w:rPr>
      </w:pPr>
    </w:p>
    <w:p>
      <w:pPr>
        <w:numPr>
          <w:ilvl w:val="0"/>
          <w:numId w:val="0"/>
        </w:numPr>
        <w:bidi w:val="0"/>
        <w:ind w:left="0" w:right="0" w:firstLine="720"/>
        <w:jc w:val="both"/>
        <w:outlineLvl w:val="4"/>
        <w:rPr>
          <w:sz w:val="24"/>
        </w:rPr>
      </w:pPr>
      <w:r>
        <w:rPr>
          <w:sz w:val="24"/>
        </w:rPr>
        <w:t>Јавни тужилац може да одложи кривично гоњење за кривична дела за која је предвиђена новчана казна или казна затвора до пет година, ако осумњичени прихвати једну или више обавеза предвиђених Закоником о кривичном поступку. О одлагању кривичног гоњења јавни тужилац доноси наредбу у којој је одређен рок у коме осумњичени мора извршити једну или више од следећих обавеза: да отклони штетну последицу насталу извршењем кривичног дела или да надокнади причињену штету, да на рачун прописан за уплату јавних прихода уплати одређени новачни износ, који се кориси за хуманитарне или друге јавне сврхе, да обави одређени друштвено корисни или хуманитарни рад, да испуни доспеле обавезе издржавања, да се подвргне одвикавању од алкохола или опојних дрога, да се подвргне психосоцијалном третману ради отклањања насилничког понашања, да изврши обавезу установљену правноснажном одлуком суда, односно поштује ограничење утврђено правноснажном одлуком. Рок за испуњење преузетих обавеза не може да буде дужи од годину дана. Ако осумњичени у року изврши обавезу, јавни тужилац ће решењем одбацити кривичну пријаву и о томе обавестити оштећеног.</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Сходно Закону о одузимању имовине проистекле из кривичног дела, јавни тужилац је надлежан за покретање финансијске истраге, којом и руководи, те захтева од Јединице за финансијске истраге прикупљање доказа (члан 19); може наредити банкарској или другој финансијској организацији да Јединици достави податке о стању пословних и личних рачуна и сефова власника и наредбом може одобрити јединици да врши аутоматску обраду података о стању пословних и личних рачуна и сефова власника (члан 22); може поднети захтев за привремено одузимање имовине проистекле из кривичног дела (члан 23); може донети наредбу о забрани располагања имовином и о привременом одузимању покретне имовине пре него што суд одлучи о захтеву за привремено одузимање имовине (члан 24); најкасније у року од три месеца од достављања правноснажне пресуде којом је утврђено да је учињено кривично дело из члана 2 Закона, може поднети захтев за трајно одузимање имовине проистекле из кривичног дела (члан 38).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Такође јавни тужилац предузима и друге радње на које је позитивноправним прописима овлашћен.</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lang w:val="sr-Cyrl-RS"/>
        </w:rPr>
        <w:t>Главни</w:t>
      </w:r>
      <w:r>
        <w:rPr>
          <w:sz w:val="24"/>
        </w:rPr>
        <w:t xml:space="preserve"> јавни тужилац у Куршумлији је носилац управе у Основном јавном тужилаштву у Куршумлији и одговоран је за правилан и благовремен рад јавног тужилаштва, у складу са законом и Правилником о управи у јавним тужилаштвима. </w:t>
      </w:r>
    </w:p>
    <w:p>
      <w:pPr>
        <w:numPr>
          <w:ilvl w:val="0"/>
          <w:numId w:val="0"/>
        </w:numPr>
        <w:bidi w:val="0"/>
        <w:ind w:left="0" w:right="0" w:firstLine="72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 Управа у јавном тужилаштву обухвата руковођење јавним тужилаштвом, послове и овлашћења у вези са организацијом рада, материјалним, финансијским, административним и другим пословима којима се обезбеђује правилан, тачан, благовремен и законит рад јавног тужилаштва, а посебно: старање о одржавању самосталности и угледа јавног тужилаштва; употреба обележја јавног тужилаштва, службеног језика и писма; уређење и организација рада јавног тужилаштва; старање о уједначеном и благовременом поступању и коришћењу најефикаснијих метода и техничких средстава у административном пословању; праћење и проучавање јавнотужилачке и судске праксе; поступање по притужбама и представкама грађана на рад јавних тужилаца, заменика јавних тужилаца и запослених у јавном тужилаштву; однос јавног тужилаштва према другим државним органима, грађанима и јавности; заштити тајности података; вођење уписника, помоћних књига, именика и других евиденција; руковање предметима и стварима од вредности; поступање са архивским материјалом; вођење статистике; материјално-финансијско пословање јавног тужилаштва; успостављање стандарда у погледу службених просторија и опреме и другим питањима од значаја за рад јавног тужилаштва. </w:t>
      </w:r>
    </w:p>
    <w:p>
      <w:pPr>
        <w:numPr>
          <w:ilvl w:val="0"/>
          <w:numId w:val="0"/>
        </w:numPr>
        <w:bidi w:val="0"/>
        <w:ind w:left="0" w:right="0" w:firstLine="72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 </w:t>
      </w:r>
      <w:r>
        <w:rPr>
          <w:sz w:val="24"/>
          <w:lang w:val="sr-Cyrl-RS"/>
        </w:rPr>
        <w:t>Главни</w:t>
      </w:r>
      <w:r>
        <w:rPr>
          <w:sz w:val="24"/>
        </w:rPr>
        <w:t xml:space="preserve"> јавни тужилац у Куршумлији, као носилац управе у јавном тужилаштву, одређује организацију и рад јавног тужилаштва, одлучује о правима по основу рада </w:t>
      </w:r>
      <w:r>
        <w:rPr>
          <w:sz w:val="24"/>
          <w:lang w:val="sr-Cyrl-RS"/>
        </w:rPr>
        <w:t>основног</w:t>
      </w:r>
      <w:r>
        <w:rPr>
          <w:sz w:val="24"/>
        </w:rPr>
        <w:t xml:space="preserve"> јавног тужиоца и о радним односима запослених у јавном тужилаштву. </w:t>
      </w:r>
    </w:p>
    <w:p>
      <w:pPr>
        <w:numPr>
          <w:ilvl w:val="0"/>
          <w:numId w:val="0"/>
        </w:numPr>
        <w:bidi w:val="0"/>
        <w:ind w:left="0" w:right="0" w:firstLine="720"/>
        <w:jc w:val="both"/>
        <w:outlineLvl w:val="4"/>
        <w:rPr>
          <w:sz w:val="24"/>
        </w:rPr>
      </w:pPr>
      <w:r>
        <w:rPr>
          <w:sz w:val="24"/>
        </w:rPr>
        <w:t xml:space="preserve"> </w:t>
      </w:r>
    </w:p>
    <w:p>
      <w:pPr>
        <w:numPr>
          <w:ilvl w:val="0"/>
          <w:numId w:val="0"/>
        </w:numPr>
        <w:bidi w:val="0"/>
        <w:ind w:left="0" w:right="0" w:firstLine="720"/>
        <w:jc w:val="both"/>
        <w:outlineLvl w:val="4"/>
        <w:rPr>
          <w:rFonts w:hint="default"/>
          <w:sz w:val="24"/>
          <w:lang w:val="sr-Cyrl-RS"/>
        </w:rPr>
      </w:pPr>
      <w:r>
        <w:rPr>
          <w:sz w:val="24"/>
        </w:rPr>
        <w:t xml:space="preserve"> </w:t>
      </w:r>
      <w:r>
        <w:rPr>
          <w:sz w:val="24"/>
          <w:lang w:val="sr-Cyrl-RS"/>
        </w:rPr>
        <w:t>Главни</w:t>
      </w:r>
      <w:r>
        <w:rPr>
          <w:rFonts w:hint="default"/>
          <w:sz w:val="24"/>
          <w:lang w:val="sr-Cyrl-RS"/>
        </w:rPr>
        <w:t xml:space="preserve"> ј</w:t>
      </w:r>
      <w:r>
        <w:rPr>
          <w:sz w:val="24"/>
        </w:rPr>
        <w:t xml:space="preserve">авни тужилац  је самосталан у вршењу својих овлашћења. </w:t>
      </w:r>
      <w:r>
        <w:rPr>
          <w:sz w:val="24"/>
          <w:lang w:val="sr-Cyrl-RS"/>
        </w:rPr>
        <w:t>Јавни</w:t>
      </w:r>
      <w:r>
        <w:rPr>
          <w:rFonts w:hint="default"/>
          <w:sz w:val="24"/>
          <w:lang w:val="sr-Cyrl-RS"/>
        </w:rPr>
        <w:t xml:space="preserve"> тужилац одговара за рад главном јавном тужиоцу у складу са законом.</w:t>
      </w:r>
    </w:p>
    <w:p>
      <w:pPr>
        <w:numPr>
          <w:ilvl w:val="0"/>
          <w:numId w:val="0"/>
        </w:numPr>
        <w:bidi w:val="0"/>
        <w:ind w:left="0" w:right="0" w:firstLine="72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Носиоци јавнотужилачке функције дужни су да своју функцију врше законито, правилно, благовремено и непристрасно и да штите част и углед јавнотужилачке професије, својим понашањем чувају углед у професионалној средини и ван ње, штите јавни интерес и поступају без дискриминације по било ком основу, у складу са достигнутим нивоом заштите људских права. Забрањен је сваки утицај на рад јавног тужилаштва и на поступање у предметима од стране извршне и законодавне власти, коришћењем јавног положаја, средстава јавног информисања или на било који други начин којим може да се угрози самосталност у раду јавног тужилаштва. </w:t>
      </w:r>
    </w:p>
    <w:p>
      <w:pPr>
        <w:numPr>
          <w:ilvl w:val="0"/>
          <w:numId w:val="0"/>
        </w:numPr>
        <w:bidi w:val="0"/>
        <w:ind w:left="0" w:right="0" w:firstLine="72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Носиоци јавнотужилачке функције дужни су да одбију сваку радњу која представља утицај на самосталност у раду јавног тужилаштва.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Носиоци јавнотужилачке функције дужни су да стручно, савесно, непристрасно, правично и без непотребног одлагања врше своју функцију посебно водећи рачуна о заштити оштећених и спречавању дискриминације по било ком основу.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Функција јавног тужиоца врши се у јавном интересу ради обезбеђивања примене Устава и закона, при чему се мора обезбедити поштовање и заштита људских права и основних слобода. Функција јавног тужиоца мора се вршити непристрасно.</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Носиоци јавнотужилачке функције у вршењу своје функције поступају у складу са Етичким кодексом, који доноси Државно веће тужилаца.</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color w:val="000000"/>
          <w:sz w:val="24"/>
        </w:rPr>
      </w:pPr>
      <w:r>
        <w:rPr>
          <w:sz w:val="24"/>
        </w:rPr>
        <w:t>Основно јавно тужилаштво израђује План</w:t>
      </w:r>
      <w:r>
        <w:rPr>
          <w:sz w:val="24"/>
          <w:lang w:val="zh-CN"/>
        </w:rPr>
        <w:t xml:space="preserve"> рада,</w:t>
      </w:r>
      <w:r>
        <w:rPr>
          <w:sz w:val="24"/>
        </w:rPr>
        <w:t xml:space="preserve"> </w:t>
      </w:r>
      <w:r>
        <w:rPr>
          <w:sz w:val="24"/>
          <w:lang w:val="zh-CN"/>
        </w:rPr>
        <w:t>П</w:t>
      </w:r>
      <w:r>
        <w:rPr>
          <w:sz w:val="24"/>
        </w:rPr>
        <w:t>рограм рада, као и Годишњи извештај о раду.</w:t>
      </w:r>
    </w:p>
    <w:p>
      <w:pPr>
        <w:bidi w:val="0"/>
        <w:jc w:val="both"/>
        <w:rPr>
          <w:color w:val="000000"/>
          <w:sz w:val="24"/>
        </w:rPr>
      </w:pPr>
    </w:p>
    <w:p>
      <w:pPr>
        <w:numPr>
          <w:ilvl w:val="0"/>
          <w:numId w:val="0"/>
        </w:numPr>
        <w:bidi w:val="0"/>
        <w:ind w:left="0" w:right="0" w:firstLine="0"/>
        <w:jc w:val="center"/>
        <w:outlineLvl w:val="0"/>
        <w:rPr>
          <w:b/>
          <w:sz w:val="24"/>
        </w:rPr>
      </w:pPr>
      <w:bookmarkStart w:id="7" w:name="_Toc517172838"/>
      <w:bookmarkEnd w:id="7"/>
      <w:r>
        <w:rPr>
          <w:b/>
          <w:sz w:val="24"/>
        </w:rPr>
        <w:t>VII  -  ОПИС ПОСТУПАЊА У ОКВИРУ НАДЛЕЖНОСТИ, ОВЛАШЋЕЊА И ОБАВЕЗА</w:t>
      </w:r>
    </w:p>
    <w:p>
      <w:pPr>
        <w:bidi w:val="0"/>
        <w:jc w:val="center"/>
        <w:rPr>
          <w:b/>
          <w:sz w:val="24"/>
        </w:rPr>
      </w:pPr>
    </w:p>
    <w:p>
      <w:pPr>
        <w:numPr>
          <w:ilvl w:val="0"/>
          <w:numId w:val="0"/>
        </w:numPr>
        <w:bidi w:val="0"/>
        <w:ind w:left="0" w:right="0" w:firstLine="720"/>
        <w:jc w:val="both"/>
        <w:outlineLvl w:val="4"/>
        <w:rPr>
          <w:sz w:val="24"/>
        </w:rPr>
      </w:pPr>
      <w:r>
        <w:rPr>
          <w:sz w:val="24"/>
          <w:lang w:val="sr-Cyrl-RS"/>
        </w:rPr>
        <w:t>Главни</w:t>
      </w:r>
      <w:r>
        <w:rPr>
          <w:rFonts w:hint="default"/>
          <w:sz w:val="24"/>
          <w:lang w:val="sr-Cyrl-RS"/>
        </w:rPr>
        <w:t xml:space="preserve"> </w:t>
      </w:r>
      <w:r>
        <w:rPr>
          <w:sz w:val="24"/>
        </w:rPr>
        <w:t xml:space="preserve"> јавни тужилац у Куршумлији послове из своје надлежности обавља непосредно или преко </w:t>
      </w:r>
      <w:r>
        <w:rPr>
          <w:sz w:val="24"/>
          <w:lang w:val="sr-Cyrl-RS"/>
        </w:rPr>
        <w:t>основног</w:t>
      </w:r>
      <w:r>
        <w:rPr>
          <w:sz w:val="24"/>
        </w:rPr>
        <w:t xml:space="preserve"> јавног тужиоца који јавнотужилачку функцију врши у Основном јавном тужилаштву у Куршумлији.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Питања од значаја за рад јавног тужилаштва разматрају се на седницама колегијума јавног тужилаштва. Колегијум јавног тужилаштва чине </w:t>
      </w:r>
      <w:r>
        <w:rPr>
          <w:sz w:val="24"/>
          <w:lang w:val="sr-Cyrl-RS"/>
        </w:rPr>
        <w:t>главни</w:t>
      </w:r>
      <w:r>
        <w:rPr>
          <w:rFonts w:hint="default"/>
          <w:sz w:val="24"/>
          <w:lang w:val="sr-Cyrl-RS"/>
        </w:rPr>
        <w:t xml:space="preserve"> </w:t>
      </w:r>
      <w:r>
        <w:rPr>
          <w:sz w:val="24"/>
        </w:rPr>
        <w:t xml:space="preserve">јавни тужилац и </w:t>
      </w:r>
      <w:r>
        <w:rPr>
          <w:sz w:val="24"/>
          <w:lang w:val="sr-Cyrl-RS"/>
        </w:rPr>
        <w:t>Основни</w:t>
      </w:r>
      <w:r>
        <w:rPr>
          <w:rFonts w:hint="default"/>
          <w:sz w:val="24"/>
          <w:lang w:val="sr-Cyrl-RS"/>
        </w:rPr>
        <w:t xml:space="preserve"> јавни</w:t>
      </w:r>
      <w:r>
        <w:rPr>
          <w:sz w:val="24"/>
        </w:rPr>
        <w:t xml:space="preserve"> тужи</w:t>
      </w:r>
      <w:r>
        <w:rPr>
          <w:sz w:val="24"/>
          <w:lang w:val="sr-Cyrl-RS"/>
        </w:rPr>
        <w:t>лац</w:t>
      </w:r>
      <w:r>
        <w:rPr>
          <w:sz w:val="24"/>
        </w:rPr>
        <w:t xml:space="preserve"> у Основном јавном тужилаштву. Седницу колегијума сазива и њоме руководи </w:t>
      </w:r>
      <w:r>
        <w:rPr>
          <w:sz w:val="24"/>
          <w:lang w:val="sr-Cyrl-RS"/>
        </w:rPr>
        <w:t>главни</w:t>
      </w:r>
      <w:r>
        <w:rPr>
          <w:rFonts w:hint="default"/>
          <w:sz w:val="24"/>
          <w:lang w:val="sr-Cyrl-RS"/>
        </w:rPr>
        <w:t xml:space="preserve"> </w:t>
      </w:r>
      <w:r>
        <w:rPr>
          <w:sz w:val="24"/>
        </w:rPr>
        <w:t xml:space="preserve">јавни тужилац или </w:t>
      </w:r>
      <w:r>
        <w:rPr>
          <w:sz w:val="24"/>
          <w:lang w:val="sr-Cyrl-RS"/>
        </w:rPr>
        <w:t>основни</w:t>
      </w:r>
      <w:r>
        <w:rPr>
          <w:sz w:val="24"/>
        </w:rPr>
        <w:t xml:space="preserve"> јавн</w:t>
      </w:r>
      <w:r>
        <w:rPr>
          <w:sz w:val="24"/>
          <w:lang w:val="sr-Cyrl-RS"/>
        </w:rPr>
        <w:t>и</w:t>
      </w:r>
      <w:r>
        <w:rPr>
          <w:sz w:val="24"/>
        </w:rPr>
        <w:t xml:space="preserve"> тужио</w:t>
      </w:r>
      <w:r>
        <w:rPr>
          <w:sz w:val="24"/>
          <w:lang w:val="sr-Cyrl-RS"/>
        </w:rPr>
        <w:t>лац</w:t>
      </w:r>
      <w:r>
        <w:rPr>
          <w:sz w:val="24"/>
        </w:rPr>
        <w:t xml:space="preserve"> кога он одреди. </w:t>
      </w:r>
    </w:p>
    <w:p>
      <w:pPr>
        <w:numPr>
          <w:ilvl w:val="0"/>
          <w:numId w:val="0"/>
        </w:numPr>
        <w:bidi w:val="0"/>
        <w:ind w:left="0" w:right="0" w:firstLine="720"/>
        <w:jc w:val="both"/>
        <w:outlineLvl w:val="4"/>
        <w:rPr>
          <w:sz w:val="24"/>
        </w:rPr>
      </w:pPr>
      <w:r>
        <w:rPr>
          <w:sz w:val="24"/>
        </w:rPr>
        <w:t xml:space="preserve">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 Обавезе, надлежности и овлашћења Основног јавног тужилаштва произилазе из: </w:t>
      </w:r>
    </w:p>
    <w:p>
      <w:pPr>
        <w:numPr>
          <w:ilvl w:val="0"/>
          <w:numId w:val="0"/>
        </w:numPr>
        <w:bidi w:val="0"/>
        <w:ind w:left="0" w:right="0" w:firstLine="720"/>
        <w:jc w:val="both"/>
        <w:outlineLvl w:val="4"/>
        <w:rPr>
          <w:sz w:val="24"/>
        </w:rPr>
      </w:pPr>
      <w:r>
        <w:rPr>
          <w:sz w:val="24"/>
        </w:rPr>
        <w:t xml:space="preserve">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1.      Устава Републике Србије („Службени гласник РС“бр. 98/2006), </w:t>
      </w:r>
    </w:p>
    <w:p>
      <w:pPr>
        <w:numPr>
          <w:ilvl w:val="0"/>
          <w:numId w:val="0"/>
        </w:numPr>
        <w:bidi w:val="0"/>
        <w:ind w:left="0" w:right="0" w:firstLine="720"/>
        <w:jc w:val="both"/>
        <w:outlineLvl w:val="4"/>
        <w:rPr>
          <w:sz w:val="24"/>
        </w:rPr>
      </w:pPr>
      <w:r>
        <w:rPr>
          <w:sz w:val="24"/>
        </w:rPr>
        <w:t xml:space="preserve">2. Закон о јавном тужилаштву („Службени гласник РС“ бр. </w:t>
      </w:r>
      <w:r>
        <w:rPr>
          <w:rFonts w:hint="default"/>
          <w:sz w:val="24"/>
          <w:lang w:val="sr-Cyrl-RS"/>
        </w:rPr>
        <w:t>10/2023</w:t>
      </w:r>
      <w:r>
        <w:rPr>
          <w:sz w:val="24"/>
        </w:rPr>
        <w:t xml:space="preserve">); </w:t>
      </w:r>
    </w:p>
    <w:p>
      <w:pPr>
        <w:numPr>
          <w:ilvl w:val="0"/>
          <w:numId w:val="0"/>
        </w:numPr>
        <w:bidi w:val="0"/>
        <w:ind w:left="0" w:right="0" w:firstLine="720"/>
        <w:jc w:val="both"/>
        <w:outlineLvl w:val="4"/>
        <w:rPr>
          <w:sz w:val="24"/>
        </w:rPr>
      </w:pPr>
      <w:r>
        <w:rPr>
          <w:sz w:val="24"/>
        </w:rPr>
        <w:t xml:space="preserve">3.  Закон о седиштима и подручјима судова и јавних тужилаштава („Службени      гласник РС“ бр. 101/2013); </w:t>
      </w:r>
    </w:p>
    <w:p>
      <w:pPr>
        <w:numPr>
          <w:ilvl w:val="0"/>
          <w:numId w:val="0"/>
        </w:numPr>
        <w:bidi w:val="0"/>
        <w:ind w:left="0" w:right="0" w:firstLine="720"/>
        <w:jc w:val="both"/>
        <w:outlineLvl w:val="4"/>
        <w:rPr>
          <w:sz w:val="24"/>
        </w:rPr>
      </w:pPr>
      <w:r>
        <w:rPr>
          <w:sz w:val="24"/>
        </w:rPr>
        <w:t xml:space="preserve">4.  Законик о кривичном поступку ("Службени гласник РС", бр. 72/2011, 101/2011, 121/2012, 32/2013, 45/2013 i 55/2014); </w:t>
      </w:r>
    </w:p>
    <w:p>
      <w:pPr>
        <w:numPr>
          <w:ilvl w:val="0"/>
          <w:numId w:val="0"/>
        </w:numPr>
        <w:bidi w:val="0"/>
        <w:ind w:left="0" w:right="0" w:firstLine="720"/>
        <w:jc w:val="both"/>
        <w:outlineLvl w:val="4"/>
      </w:pPr>
      <w:r>
        <w:rPr>
          <w:sz w:val="24"/>
        </w:rPr>
        <w:t xml:space="preserve">5.  Кривични законик ("Службени гласник РС" бр. 85/2005, 88/2005 - испр., 107/2005 - испр., 72/2009, 111/2009, 121/2012, 104/2013, 108/2014 i 94/2016 и 35/19) </w:t>
      </w:r>
    </w:p>
    <w:p>
      <w:pPr>
        <w:numPr>
          <w:ilvl w:val="0"/>
          <w:numId w:val="0"/>
        </w:numPr>
        <w:bidi w:val="0"/>
        <w:ind w:left="0" w:right="0" w:firstLine="720"/>
        <w:jc w:val="both"/>
        <w:outlineLvl w:val="4"/>
        <w:rPr>
          <w:sz w:val="24"/>
        </w:rPr>
      </w:pPr>
      <w:r>
        <w:rPr>
          <w:sz w:val="24"/>
        </w:rPr>
        <w:t>6.  Закон о малолетним учиниоцима кривичних дела и кривично</w:t>
      </w:r>
      <w:r>
        <w:rPr>
          <w:sz w:val="24"/>
          <w:lang w:val="zh-CN"/>
        </w:rPr>
        <w:t>-</w:t>
      </w:r>
      <w:r>
        <w:rPr>
          <w:sz w:val="24"/>
        </w:rPr>
        <w:t xml:space="preserve">правној заштити           малолетних лица (''Сл. гласник РС'' број 85/2005), </w:t>
      </w:r>
    </w:p>
    <w:p>
      <w:pPr>
        <w:numPr>
          <w:ilvl w:val="0"/>
          <w:numId w:val="0"/>
        </w:numPr>
        <w:bidi w:val="0"/>
        <w:ind w:left="0" w:right="0" w:firstLine="720"/>
        <w:jc w:val="both"/>
        <w:outlineLvl w:val="4"/>
        <w:rPr>
          <w:sz w:val="24"/>
        </w:rPr>
      </w:pPr>
      <w:r>
        <w:rPr>
          <w:sz w:val="24"/>
        </w:rPr>
        <w:t xml:space="preserve">7.  Закон о међународној правној помоћи  у кривичним стварима (''Сл. гласник РС''      број 20/2009),  </w:t>
      </w:r>
    </w:p>
    <w:p>
      <w:pPr>
        <w:numPr>
          <w:ilvl w:val="0"/>
          <w:numId w:val="0"/>
        </w:numPr>
        <w:bidi w:val="0"/>
        <w:ind w:left="0" w:right="0" w:firstLine="720"/>
        <w:jc w:val="both"/>
        <w:outlineLvl w:val="4"/>
        <w:rPr>
          <w:sz w:val="24"/>
        </w:rPr>
      </w:pPr>
      <w:r>
        <w:rPr>
          <w:sz w:val="24"/>
        </w:rPr>
        <w:t xml:space="preserve">8.  Закон о одузимању имовине проистекле из кривичног дела (''Сл. гласник РС''       број32/2013 i 94/2016), </w:t>
      </w:r>
    </w:p>
    <w:p>
      <w:pPr>
        <w:numPr>
          <w:ilvl w:val="0"/>
          <w:numId w:val="0"/>
        </w:numPr>
        <w:bidi w:val="0"/>
        <w:ind w:left="0" w:right="0" w:firstLine="720"/>
        <w:jc w:val="both"/>
        <w:outlineLvl w:val="4"/>
        <w:rPr>
          <w:sz w:val="24"/>
        </w:rPr>
      </w:pPr>
      <w:r>
        <w:rPr>
          <w:sz w:val="24"/>
        </w:rPr>
        <w:t xml:space="preserve">9.  Закон о одговорности правних лица за кривична дела (''Сл. гласнк РС''      број 97/2008), </w:t>
      </w:r>
    </w:p>
    <w:p>
      <w:pPr>
        <w:numPr>
          <w:ilvl w:val="0"/>
          <w:numId w:val="0"/>
        </w:numPr>
        <w:bidi w:val="0"/>
        <w:ind w:left="0" w:right="0" w:firstLine="720"/>
        <w:jc w:val="both"/>
        <w:outlineLvl w:val="4"/>
        <w:rPr>
          <w:sz w:val="24"/>
        </w:rPr>
      </w:pPr>
      <w:r>
        <w:rPr>
          <w:sz w:val="24"/>
        </w:rPr>
        <w:t xml:space="preserve">10.  Закон о слободном приступу информацијама од јавног значаја (''Сл. гласник РС''       број 20/2004, 54/2007, 104/2009 и 36/2010), </w:t>
      </w:r>
    </w:p>
    <w:p>
      <w:pPr>
        <w:numPr>
          <w:ilvl w:val="0"/>
          <w:numId w:val="0"/>
        </w:numPr>
        <w:bidi w:val="0"/>
        <w:ind w:left="0" w:right="0" w:firstLine="720"/>
        <w:jc w:val="both"/>
        <w:outlineLvl w:val="4"/>
        <w:rPr>
          <w:sz w:val="24"/>
        </w:rPr>
      </w:pPr>
      <w:r>
        <w:rPr>
          <w:sz w:val="24"/>
        </w:rPr>
        <w:t>11.Закон о спречавању насиља у породици</w:t>
      </w:r>
    </w:p>
    <w:p>
      <w:pPr>
        <w:numPr>
          <w:ilvl w:val="0"/>
          <w:numId w:val="0"/>
        </w:numPr>
        <w:bidi w:val="0"/>
        <w:ind w:left="0" w:right="0" w:firstLine="720"/>
        <w:jc w:val="both"/>
        <w:outlineLvl w:val="4"/>
        <w:rPr>
          <w:sz w:val="24"/>
        </w:rPr>
      </w:pPr>
      <w:r>
        <w:rPr>
          <w:sz w:val="24"/>
        </w:rPr>
        <w:t xml:space="preserve">12. Правилник о допунама Правилника о управи у јавним тужилаштвима ("Службени гласник РС", бр. 110/2009, 87/2010, 5/2012 и 54/2017)  </w:t>
      </w:r>
    </w:p>
    <w:p>
      <w:pPr>
        <w:numPr>
          <w:ilvl w:val="0"/>
          <w:numId w:val="0"/>
        </w:numPr>
        <w:bidi w:val="0"/>
        <w:ind w:left="0" w:right="0" w:firstLine="720"/>
        <w:jc w:val="both"/>
        <w:outlineLvl w:val="4"/>
        <w:rPr>
          <w:sz w:val="24"/>
        </w:rPr>
      </w:pPr>
      <w:r>
        <w:rPr>
          <w:sz w:val="24"/>
        </w:rPr>
        <w:t xml:space="preserve">13.Закона о општем управном поступку („Службени гласник РС“, број 18/16) </w:t>
      </w:r>
    </w:p>
    <w:p>
      <w:pPr>
        <w:numPr>
          <w:ilvl w:val="0"/>
          <w:numId w:val="0"/>
        </w:numPr>
        <w:bidi w:val="0"/>
        <w:ind w:left="0" w:right="0" w:firstLine="720"/>
        <w:jc w:val="both"/>
        <w:outlineLvl w:val="4"/>
        <w:rPr>
          <w:sz w:val="24"/>
        </w:rPr>
      </w:pPr>
      <w:r>
        <w:rPr>
          <w:sz w:val="24"/>
        </w:rPr>
        <w:t xml:space="preserve">14. Закона о прекршајима („Сл. гласник РС“ бр. 65/13, 13/16 и 98/16-одлука УС); </w:t>
      </w:r>
    </w:p>
    <w:p>
      <w:pPr>
        <w:numPr>
          <w:ilvl w:val="0"/>
          <w:numId w:val="0"/>
        </w:numPr>
        <w:bidi w:val="0"/>
        <w:ind w:left="0" w:right="0" w:firstLine="720"/>
        <w:jc w:val="both"/>
        <w:outlineLvl w:val="4"/>
        <w:rPr>
          <w:sz w:val="24"/>
        </w:rPr>
      </w:pPr>
      <w:r>
        <w:rPr>
          <w:sz w:val="24"/>
        </w:rPr>
        <w:t>15.  други позитивн</w:t>
      </w:r>
      <w:r>
        <w:rPr>
          <w:sz w:val="24"/>
          <w:lang w:val="zh-CN"/>
        </w:rPr>
        <w:t xml:space="preserve">и </w:t>
      </w:r>
      <w:r>
        <w:rPr>
          <w:sz w:val="24"/>
        </w:rPr>
        <w:t>правни прописи.</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pPr>
      <w:r>
        <w:rPr>
          <w:sz w:val="24"/>
        </w:rPr>
        <w:t xml:space="preserve">Основно јавно тужилаштво у Куршумлији је у протеклом периоду извршавало све законом прописане обавезе, у складу са прописаним начином њихове реализације – планом и програмом рада, те сачињавањем годишњег извештаја о раду, у складу са доношењем релевантних одлука у предметима, редовним праћењем рада основних јавних тужилаштава, издавањем упутстава за поступање основних јавних тужилаштава, итд. </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 xml:space="preserve">  У временском периоду од 01.01.20</w:t>
      </w:r>
      <w:r>
        <w:rPr>
          <w:rFonts w:hint="default"/>
          <w:sz w:val="24"/>
          <w:lang w:val="sr-Cyrl-RS"/>
        </w:rPr>
        <w:t>22</w:t>
      </w:r>
      <w:r>
        <w:rPr>
          <w:sz w:val="24"/>
        </w:rPr>
        <w:t>. године до 31.12.20</w:t>
      </w:r>
      <w:r>
        <w:rPr>
          <w:rFonts w:hint="default"/>
          <w:sz w:val="24"/>
          <w:lang w:val="sr-Cyrl-RS"/>
        </w:rPr>
        <w:t>22</w:t>
      </w:r>
      <w:r>
        <w:rPr>
          <w:sz w:val="24"/>
        </w:rPr>
        <w:t xml:space="preserve">. године </w:t>
      </w:r>
      <w:r>
        <w:rPr>
          <w:sz w:val="24"/>
          <w:lang w:val="sr-Cyrl-RS"/>
        </w:rPr>
        <w:t>Ос</w:t>
      </w:r>
      <w:r>
        <w:rPr>
          <w:sz w:val="24"/>
        </w:rPr>
        <w:t>новно јавно тужилаштво у Куршумлији је у раду имало:</w:t>
      </w:r>
    </w:p>
    <w:tbl>
      <w:tblPr>
        <w:tblStyle w:val="11"/>
        <w:tblW w:w="8679" w:type="dxa"/>
        <w:tblInd w:w="-15"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88" w:type="dxa"/>
          <w:bottom w:w="0" w:type="dxa"/>
          <w:right w:w="108" w:type="dxa"/>
        </w:tblCellMar>
      </w:tblPr>
      <w:tblGrid>
        <w:gridCol w:w="4340"/>
        <w:gridCol w:w="4339"/>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493" w:hRule="atLeast"/>
        </w:trPr>
        <w:tc>
          <w:tcPr>
            <w:tcW w:w="434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D9D9D9"/>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b/>
                <w:sz w:val="24"/>
              </w:rPr>
            </w:pPr>
            <w:r>
              <w:rPr>
                <w:b/>
                <w:sz w:val="24"/>
              </w:rPr>
              <w:t>Уписник</w:t>
            </w:r>
          </w:p>
        </w:tc>
        <w:tc>
          <w:tcPr>
            <w:tcW w:w="433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D9D9D9"/>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b/>
                <w:sz w:val="24"/>
              </w:rPr>
            </w:pPr>
            <w:r>
              <w:rPr>
                <w:b/>
                <w:sz w:val="24"/>
              </w:rPr>
              <w:t xml:space="preserve"> Број предмета / лица</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34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КТ</w:t>
            </w:r>
          </w:p>
        </w:tc>
        <w:tc>
          <w:tcPr>
            <w:tcW w:w="433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pPr>
            <w:r>
              <w:rPr>
                <w:rFonts w:hint="default" w:eastAsiaTheme="minorEastAsia" w:cstheme="minorBidi"/>
                <w:color w:val="000000"/>
                <w:position w:val="0"/>
                <w:sz w:val="24"/>
                <w:u w:val="none"/>
                <w:shd w:val="clear" w:fill="FFFFFF"/>
                <w:vertAlign w:val="baseline"/>
                <w:lang w:val="sr-Cyrl-RS"/>
              </w:rPr>
              <w:t>420</w:t>
            </w:r>
            <w:r>
              <w:rPr>
                <w:sz w:val="24"/>
              </w:rPr>
              <w:t xml:space="preserve"> (</w:t>
            </w:r>
            <w:r>
              <w:rPr>
                <w:rFonts w:hint="default"/>
                <w:sz w:val="24"/>
                <w:lang w:val="sr-Cyrl-RS"/>
              </w:rPr>
              <w:t>498</w:t>
            </w:r>
            <w:r>
              <w:rPr>
                <w:sz w:val="24"/>
              </w:rPr>
              <w:t xml:space="preserve"> лица)</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34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КТИ</w:t>
            </w:r>
          </w:p>
        </w:tc>
        <w:tc>
          <w:tcPr>
            <w:tcW w:w="433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pPr>
            <w:r>
              <w:rPr>
                <w:rFonts w:hint="default"/>
                <w:sz w:val="24"/>
                <w:lang w:val="sr-Cyrl-RS"/>
              </w:rPr>
              <w:t>1</w:t>
            </w:r>
            <w:r>
              <w:rPr>
                <w:sz w:val="24"/>
              </w:rPr>
              <w:t xml:space="preserve"> (</w:t>
            </w:r>
            <w:r>
              <w:rPr>
                <w:rFonts w:hint="default"/>
                <w:sz w:val="24"/>
                <w:lang w:val="sr-Cyrl-RS"/>
              </w:rPr>
              <w:t>1</w:t>
            </w:r>
            <w:r>
              <w:rPr>
                <w:sz w:val="24"/>
              </w:rPr>
              <w:t xml:space="preserve"> лиц</w:t>
            </w:r>
            <w:r>
              <w:rPr>
                <w:sz w:val="24"/>
                <w:lang w:val="sr-Cyrl-RS"/>
              </w:rPr>
              <w:t>е</w:t>
            </w:r>
            <w:r>
              <w:rPr>
                <w:sz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34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КТО</w:t>
            </w:r>
          </w:p>
        </w:tc>
        <w:tc>
          <w:tcPr>
            <w:tcW w:w="433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pPr>
            <w:r>
              <w:rPr>
                <w:sz w:val="24"/>
              </w:rPr>
              <w:t>1</w:t>
            </w:r>
            <w:r>
              <w:rPr>
                <w:rFonts w:hint="default"/>
                <w:sz w:val="24"/>
                <w:lang w:val="sr-Cyrl-RS"/>
              </w:rPr>
              <w:t>18</w:t>
            </w:r>
            <w:r>
              <w:rPr>
                <w:sz w:val="24"/>
              </w:rPr>
              <w:t xml:space="preserve"> (1</w:t>
            </w:r>
            <w:r>
              <w:rPr>
                <w:rFonts w:hint="default"/>
                <w:sz w:val="24"/>
                <w:lang w:val="sr-Cyrl-RS"/>
              </w:rPr>
              <w:t>37</w:t>
            </w:r>
            <w:r>
              <w:rPr>
                <w:sz w:val="24"/>
                <w:lang w:val="zh-CN"/>
              </w:rPr>
              <w:t xml:space="preserve"> </w:t>
            </w:r>
            <w:r>
              <w:rPr>
                <w:sz w:val="24"/>
              </w:rPr>
              <w:t>лица)</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34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НПТ</w:t>
            </w:r>
          </w:p>
        </w:tc>
        <w:tc>
          <w:tcPr>
            <w:tcW w:w="433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pPr>
            <w:r>
              <w:rPr>
                <w:rFonts w:hint="default" w:eastAsiaTheme="minorEastAsia" w:cstheme="minorBidi"/>
                <w:color w:val="000000"/>
                <w:position w:val="0"/>
                <w:sz w:val="24"/>
                <w:u w:val="none"/>
                <w:shd w:val="clear" w:fill="FFFFFF"/>
                <w:vertAlign w:val="baseline"/>
                <w:lang w:val="sr-Cyrl-RS"/>
              </w:rPr>
              <w:t>66</w:t>
            </w:r>
            <w:r>
              <w:rPr>
                <w:sz w:val="24"/>
                <w:lang w:val="zh-CN"/>
              </w:rPr>
              <w:t xml:space="preserve"> (</w:t>
            </w:r>
            <w:r>
              <w:rPr>
                <w:rFonts w:hint="default"/>
                <w:sz w:val="24"/>
                <w:lang w:val="sr-Cyrl-RS"/>
              </w:rPr>
              <w:t xml:space="preserve">74 </w:t>
            </w:r>
            <w:r>
              <w:rPr>
                <w:sz w:val="24"/>
                <w:lang w:val="zh-CN"/>
              </w:rPr>
              <w:t>лица)</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34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НПТ1</w:t>
            </w:r>
          </w:p>
        </w:tc>
        <w:tc>
          <w:tcPr>
            <w:tcW w:w="433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rFonts w:hint="default"/>
                <w:lang w:val="sr-Cyrl-RS"/>
              </w:rPr>
            </w:pPr>
            <w:r>
              <w:rPr>
                <w:rFonts w:hint="default"/>
                <w:lang w:val="sr-Cyrl-RS"/>
              </w:rPr>
              <w:t>24</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34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КТРI</w:t>
            </w:r>
          </w:p>
        </w:tc>
        <w:tc>
          <w:tcPr>
            <w:tcW w:w="433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rFonts w:hint="default"/>
                <w:lang w:val="sr-Cyrl-RS"/>
              </w:rPr>
            </w:pPr>
            <w:r>
              <w:rPr>
                <w:rFonts w:hint="default"/>
                <w:sz w:val="24"/>
                <w:lang w:val="sr-Cyrl-RS"/>
              </w:rPr>
              <w:t>2</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34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КТР</w:t>
            </w:r>
          </w:p>
        </w:tc>
        <w:tc>
          <w:tcPr>
            <w:tcW w:w="433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rFonts w:hint="default"/>
                <w:lang w:val="sr-Cyrl-RS"/>
              </w:rPr>
            </w:pPr>
            <w:r>
              <w:rPr>
                <w:rFonts w:hint="default" w:eastAsiaTheme="minorEastAsia" w:cstheme="minorBidi"/>
                <w:color w:val="000000"/>
                <w:position w:val="0"/>
                <w:sz w:val="24"/>
                <w:u w:val="none"/>
                <w:shd w:val="clear" w:fill="FFFFFF"/>
                <w:vertAlign w:val="baseline"/>
                <w:lang w:val="sr-Cyrl-RS"/>
              </w:rPr>
              <w:t>342</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34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КТН</w:t>
            </w:r>
          </w:p>
        </w:tc>
        <w:tc>
          <w:tcPr>
            <w:tcW w:w="433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rFonts w:hint="default"/>
                <w:lang w:val="sr-Cyrl-RS"/>
              </w:rPr>
            </w:pPr>
            <w:r>
              <w:rPr>
                <w:rFonts w:hint="default"/>
                <w:lang w:val="sr-Cyrl-RS"/>
              </w:rPr>
              <w:t>160</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34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lang w:val="zh-CN"/>
              </w:rPr>
            </w:pPr>
            <w:r>
              <w:rPr>
                <w:sz w:val="24"/>
                <w:lang w:val="zh-CN"/>
              </w:rPr>
              <w:t>КТНИ</w:t>
            </w:r>
          </w:p>
        </w:tc>
        <w:tc>
          <w:tcPr>
            <w:tcW w:w="433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lang w:val="zh-CN"/>
              </w:rPr>
            </w:pPr>
            <w:r>
              <w:rPr>
                <w:sz w:val="24"/>
                <w:lang w:val="zh-CN"/>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34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КЕО</w:t>
            </w:r>
          </w:p>
        </w:tc>
        <w:tc>
          <w:tcPr>
            <w:tcW w:w="433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pPr>
            <w:r>
              <w:rPr>
                <w:rFonts w:hint="default"/>
                <w:sz w:val="24"/>
                <w:lang w:val="sr-Cyrl-RS"/>
              </w:rPr>
              <w:t>59</w:t>
            </w:r>
            <w:r>
              <w:rPr>
                <w:sz w:val="24"/>
              </w:rPr>
              <w:t xml:space="preserve"> ( 6</w:t>
            </w:r>
            <w:r>
              <w:rPr>
                <w:rFonts w:hint="default"/>
                <w:sz w:val="24"/>
                <w:lang w:val="sr-Cyrl-RS"/>
              </w:rPr>
              <w:t>5</w:t>
            </w:r>
            <w:r>
              <w:rPr>
                <w:sz w:val="24"/>
                <w:lang w:val="zh-CN"/>
              </w:rPr>
              <w:t xml:space="preserve"> </w:t>
            </w:r>
            <w:r>
              <w:rPr>
                <w:sz w:val="24"/>
              </w:rPr>
              <w:t>лица)</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34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КТПО</w:t>
            </w:r>
          </w:p>
        </w:tc>
        <w:tc>
          <w:tcPr>
            <w:tcW w:w="433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34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МП</w:t>
            </w:r>
          </w:p>
        </w:tc>
        <w:tc>
          <w:tcPr>
            <w:tcW w:w="433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rFonts w:hint="default"/>
                <w:lang w:val="sr-Cyrl-RS"/>
              </w:rPr>
            </w:pPr>
            <w:r>
              <w:rPr>
                <w:rFonts w:hint="default"/>
                <w:lang w:val="sr-Cyrl-RS"/>
              </w:rPr>
              <w:t>2</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34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ПТ</w:t>
            </w:r>
          </w:p>
        </w:tc>
        <w:tc>
          <w:tcPr>
            <w:tcW w:w="433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pPr>
            <w:r>
              <w:rPr>
                <w:rFonts w:hint="default"/>
                <w:sz w:val="24"/>
                <w:lang w:val="sr-Cyrl-RS"/>
              </w:rPr>
              <w:t>3</w:t>
            </w:r>
            <w:r>
              <w:rPr>
                <w:sz w:val="24"/>
                <w:lang w:val="zh-CN"/>
              </w:rPr>
              <w:t xml:space="preserve"> (</w:t>
            </w:r>
            <w:r>
              <w:rPr>
                <w:rFonts w:hint="default"/>
                <w:sz w:val="24"/>
                <w:lang w:val="sr-Cyrl-RS"/>
              </w:rPr>
              <w:t>4</w:t>
            </w:r>
            <w:r>
              <w:rPr>
                <w:sz w:val="24"/>
                <w:lang w:val="zh-CN"/>
              </w:rPr>
              <w:t xml:space="preserve"> лица)</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34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ПОВ</w:t>
            </w:r>
          </w:p>
        </w:tc>
        <w:tc>
          <w:tcPr>
            <w:tcW w:w="433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rFonts w:hint="default"/>
                <w:lang w:val="sr-Cyrl-RS"/>
              </w:rPr>
            </w:pPr>
            <w:r>
              <w:rPr>
                <w:rFonts w:hint="default"/>
                <w:lang w:val="sr-Cyrl-RS"/>
              </w:rPr>
              <w:t>6</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34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СТР.ПОВ.</w:t>
            </w:r>
          </w:p>
        </w:tc>
        <w:tc>
          <w:tcPr>
            <w:tcW w:w="433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rFonts w:hint="default"/>
                <w:lang w:val="sr-Cyrl-RS"/>
              </w:rPr>
            </w:pPr>
            <w:r>
              <w:rPr>
                <w:rFonts w:hint="default"/>
                <w:lang w:val="sr-Cyrl-RS"/>
              </w:rPr>
              <w:t>119</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34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А</w:t>
            </w:r>
          </w:p>
        </w:tc>
        <w:tc>
          <w:tcPr>
            <w:tcW w:w="433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rFonts w:hint="default"/>
                <w:lang w:val="sr-Cyrl-RS"/>
              </w:rPr>
            </w:pPr>
            <w:r>
              <w:rPr>
                <w:rFonts w:hint="default"/>
                <w:sz w:val="24"/>
                <w:lang w:val="sr-Cyrl-RS"/>
              </w:rPr>
              <w:t>220</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34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Р</w:t>
            </w:r>
          </w:p>
        </w:tc>
        <w:tc>
          <w:tcPr>
            <w:tcW w:w="433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rFonts w:hint="default"/>
                <w:lang w:val="sr-Cyrl-RS"/>
              </w:rPr>
            </w:pPr>
            <w:r>
              <w:rPr>
                <w:rFonts w:hint="default"/>
                <w:sz w:val="24"/>
                <w:lang w:val="sr-Cyrl-RS"/>
              </w:rPr>
              <w:t>70</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34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lang w:val="zh-CN"/>
              </w:rPr>
            </w:pPr>
            <w:r>
              <w:rPr>
                <w:sz w:val="24"/>
                <w:lang w:val="zh-CN"/>
              </w:rPr>
              <w:t>Р сл.</w:t>
            </w:r>
          </w:p>
        </w:tc>
        <w:tc>
          <w:tcPr>
            <w:tcW w:w="433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rFonts w:hint="default"/>
                <w:lang w:val="sr-Cyrl-RS"/>
              </w:rPr>
            </w:pPr>
            <w:r>
              <w:rPr>
                <w:rFonts w:hint="default"/>
                <w:lang w:val="sr-Cyrl-RS"/>
              </w:rPr>
              <w:t>147</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34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КДП II</w:t>
            </w:r>
          </w:p>
        </w:tc>
        <w:tc>
          <w:tcPr>
            <w:tcW w:w="433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rFonts w:hint="default"/>
                <w:lang w:val="sr-Cyrl-RS"/>
              </w:rPr>
            </w:pPr>
            <w:r>
              <w:rPr>
                <w:rFonts w:hint="default"/>
                <w:sz w:val="24"/>
                <w:lang w:val="sr-Cyrl-RS"/>
              </w:rPr>
              <w:t>4</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34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КДП I</w:t>
            </w:r>
          </w:p>
        </w:tc>
        <w:tc>
          <w:tcPr>
            <w:tcW w:w="433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34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СК</w:t>
            </w:r>
          </w:p>
        </w:tc>
        <w:tc>
          <w:tcPr>
            <w:tcW w:w="433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pPr>
            <w:r>
              <w:rPr>
                <w:rFonts w:hint="default"/>
                <w:sz w:val="24"/>
                <w:lang w:val="sr-Cyrl-RS"/>
              </w:rPr>
              <w:t>9</w:t>
            </w:r>
            <w:r>
              <w:rPr>
                <w:sz w:val="24"/>
              </w:rPr>
              <w:t xml:space="preserve"> (</w:t>
            </w:r>
            <w:r>
              <w:rPr>
                <w:rFonts w:hint="default"/>
                <w:sz w:val="24"/>
                <w:lang w:val="sr-Cyrl-RS"/>
              </w:rPr>
              <w:t>10</w:t>
            </w:r>
            <w:r>
              <w:rPr>
                <w:sz w:val="24"/>
              </w:rPr>
              <w:t xml:space="preserve"> лица)</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34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ПИ</w:t>
            </w:r>
          </w:p>
        </w:tc>
        <w:tc>
          <w:tcPr>
            <w:tcW w:w="433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rFonts w:hint="default"/>
                <w:lang w:val="sr-Cyrl-RS"/>
              </w:rPr>
            </w:pPr>
            <w:r>
              <w:rPr>
                <w:rFonts w:eastAsiaTheme="minorEastAsia" w:cstheme="minorBidi"/>
                <w:color w:val="000000"/>
                <w:position w:val="0"/>
                <w:sz w:val="24"/>
                <w:u w:val="none"/>
                <w:shd w:val="clear" w:fill="FFFFFF"/>
                <w:vertAlign w:val="baseline"/>
                <w:lang w:val="zh-CN"/>
              </w:rPr>
              <w:t>2</w:t>
            </w:r>
            <w:r>
              <w:rPr>
                <w:rFonts w:hint="default" w:eastAsiaTheme="minorEastAsia" w:cstheme="minorBidi"/>
                <w:color w:val="000000"/>
                <w:position w:val="0"/>
                <w:sz w:val="24"/>
                <w:u w:val="none"/>
                <w:shd w:val="clear" w:fill="FFFFFF"/>
                <w:vertAlign w:val="baseline"/>
                <w:lang w:val="sr-Cyrl-RS"/>
              </w:rPr>
              <w:t>5</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34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П</w:t>
            </w:r>
          </w:p>
        </w:tc>
        <w:tc>
          <w:tcPr>
            <w:tcW w:w="433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rFonts w:hint="default"/>
                <w:lang w:val="sr-Cyrl-RS"/>
              </w:rPr>
            </w:pPr>
            <w:r>
              <w:rPr>
                <w:rFonts w:hint="default"/>
                <w:sz w:val="24"/>
                <w:lang w:val="sr-Cyrl-RS"/>
              </w:rPr>
              <w:t>36</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34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ГТ</w:t>
            </w:r>
          </w:p>
        </w:tc>
        <w:tc>
          <w:tcPr>
            <w:tcW w:w="433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lang w:val="zh-CN"/>
              </w:rPr>
            </w:pPr>
            <w:r>
              <w:rPr>
                <w:sz w:val="24"/>
                <w:lang w:val="zh-CN"/>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34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ОИК</w:t>
            </w:r>
          </w:p>
        </w:tc>
        <w:tc>
          <w:tcPr>
            <w:tcW w:w="433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34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И</w:t>
            </w:r>
          </w:p>
        </w:tc>
        <w:tc>
          <w:tcPr>
            <w:tcW w:w="433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rFonts w:hint="default"/>
                <w:lang w:val="en-US"/>
              </w:rPr>
            </w:pPr>
            <w:r>
              <w:rPr>
                <w:rFonts w:hint="default" w:eastAsiaTheme="minorEastAsia" w:cstheme="minorBidi"/>
                <w:color w:val="000000"/>
                <w:position w:val="0"/>
                <w:sz w:val="24"/>
                <w:u w:val="none"/>
                <w:shd w:val="clear" w:fill="FFFFFF"/>
                <w:vertAlign w:val="baseline"/>
                <w:lang w:val="en-US"/>
              </w:rPr>
              <w:t>241</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34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Уступљени</w:t>
            </w:r>
          </w:p>
        </w:tc>
        <w:tc>
          <w:tcPr>
            <w:tcW w:w="433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rFonts w:hint="default"/>
                <w:lang w:val="sr-Cyrl-RS"/>
              </w:rPr>
            </w:pPr>
            <w:r>
              <w:rPr>
                <w:sz w:val="24"/>
                <w:lang w:val="zh-CN"/>
              </w:rPr>
              <w:t>2</w:t>
            </w:r>
            <w:r>
              <w:rPr>
                <w:rFonts w:hint="default"/>
                <w:sz w:val="24"/>
                <w:lang w:val="sr-Cyrl-RS"/>
              </w:rPr>
              <w:t>3</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34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О</w:t>
            </w:r>
          </w:p>
        </w:tc>
        <w:tc>
          <w:tcPr>
            <w:tcW w:w="433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rFonts w:hint="default"/>
                <w:sz w:val="24"/>
                <w:lang w:val="sr-Cyrl-RS"/>
              </w:rPr>
            </w:pPr>
            <w:r>
              <w:rPr>
                <w:rFonts w:hint="default"/>
                <w:sz w:val="24"/>
                <w:lang w:val="sr-Cyrl-RS"/>
              </w:rPr>
              <w:t>1</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34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sz w:val="24"/>
              </w:rPr>
            </w:pPr>
            <w:r>
              <w:rPr>
                <w:sz w:val="24"/>
              </w:rPr>
              <w:t xml:space="preserve">Службено </w:t>
            </w:r>
          </w:p>
        </w:tc>
        <w:tc>
          <w:tcPr>
            <w:tcW w:w="433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rFonts w:hint="default"/>
                <w:lang w:val="sr-Cyrl-RS"/>
              </w:rPr>
            </w:pPr>
            <w:r>
              <w:rPr>
                <w:rFonts w:hint="default"/>
                <w:lang w:val="sr-Cyrl-RS"/>
              </w:rPr>
              <w:t>7</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373" w:hRule="atLeast"/>
        </w:trPr>
        <w:tc>
          <w:tcPr>
            <w:tcW w:w="4340"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BEBEBE" w:themeFill="background1" w:themeFillShade="BF"/>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b/>
                <w:bCs/>
                <w:sz w:val="24"/>
              </w:rPr>
            </w:pPr>
            <w:r>
              <w:rPr>
                <w:b/>
                <w:bCs/>
                <w:sz w:val="24"/>
              </w:rPr>
              <w:t>Укупно предмета:</w:t>
            </w:r>
          </w:p>
        </w:tc>
        <w:tc>
          <w:tcPr>
            <w:tcW w:w="4339"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BEBEBE" w:themeFill="background1" w:themeFillShade="BF"/>
            <w:tcMar>
              <w:left w:w="88" w:type="dxa"/>
            </w:tcMar>
          </w:tcPr>
          <w:p>
            <w:pPr>
              <w:keepNext/>
              <w:keepLines w:val="0"/>
              <w:widowControl/>
              <w:numPr>
                <w:ilvl w:val="0"/>
                <w:numId w:val="0"/>
              </w:numPr>
              <w:overflowPunct w:val="0"/>
              <w:bidi w:val="0"/>
              <w:snapToGrid/>
              <w:spacing w:before="60" w:after="0"/>
              <w:ind w:left="0" w:right="0" w:firstLine="0"/>
              <w:jc w:val="center"/>
              <w:textAlignment w:val="auto"/>
              <w:outlineLvl w:val="4"/>
              <w:rPr>
                <w:rFonts w:hint="default"/>
                <w:lang w:val="sr-Cyrl-RS"/>
              </w:rPr>
            </w:pPr>
            <w:r>
              <w:rPr>
                <w:rFonts w:hint="default" w:eastAsiaTheme="minorEastAsia" w:cstheme="minorBidi"/>
                <w:b/>
                <w:bCs/>
                <w:color w:val="000000"/>
                <w:position w:val="0"/>
                <w:sz w:val="24"/>
                <w:u w:val="none"/>
                <w:shd w:val="clear" w:fill="FFFFFF"/>
                <w:vertAlign w:val="baseline"/>
                <w:lang w:val="sr-Cyrl-RS"/>
              </w:rPr>
              <w:t>2105</w:t>
            </w:r>
          </w:p>
        </w:tc>
      </w:tr>
    </w:tbl>
    <w:p>
      <w:pPr>
        <w:numPr>
          <w:ilvl w:val="0"/>
          <w:numId w:val="0"/>
        </w:numPr>
        <w:bidi w:val="0"/>
        <w:ind w:left="0" w:right="0" w:firstLine="0"/>
        <w:jc w:val="both"/>
        <w:outlineLvl w:val="4"/>
        <w:rPr>
          <w:sz w:val="24"/>
        </w:rPr>
      </w:pPr>
    </w:p>
    <w:p>
      <w:pPr>
        <w:bidi w:val="0"/>
        <w:jc w:val="both"/>
        <w:rPr>
          <w:sz w:val="24"/>
        </w:rPr>
      </w:pPr>
    </w:p>
    <w:p>
      <w:pPr>
        <w:bidi w:val="0"/>
        <w:jc w:val="both"/>
        <w:rPr>
          <w:sz w:val="24"/>
        </w:rPr>
      </w:pPr>
    </w:p>
    <w:p>
      <w:pPr>
        <w:numPr>
          <w:ilvl w:val="0"/>
          <w:numId w:val="0"/>
        </w:numPr>
        <w:bidi w:val="0"/>
        <w:ind w:left="0" w:right="0" w:firstLine="0"/>
        <w:jc w:val="center"/>
        <w:outlineLvl w:val="0"/>
        <w:rPr>
          <w:b/>
          <w:color w:val="000000"/>
          <w:sz w:val="24"/>
        </w:rPr>
      </w:pPr>
      <w:bookmarkStart w:id="8" w:name="_Toc517172839"/>
      <w:bookmarkEnd w:id="8"/>
      <w:r>
        <w:rPr>
          <w:b/>
          <w:color w:val="000000"/>
          <w:sz w:val="24"/>
        </w:rPr>
        <w:t>VIII  -  НАВОЂЕЊЕ ПРОПИСА</w:t>
      </w:r>
    </w:p>
    <w:p>
      <w:pPr>
        <w:bidi w:val="0"/>
        <w:jc w:val="center"/>
        <w:rPr>
          <w:b/>
          <w:color w:val="000000"/>
          <w:sz w:val="24"/>
        </w:rPr>
      </w:pPr>
    </w:p>
    <w:p>
      <w:pPr>
        <w:bidi w:val="0"/>
        <w:jc w:val="center"/>
        <w:rPr>
          <w:b/>
          <w:color w:val="000000"/>
          <w:sz w:val="24"/>
        </w:rPr>
      </w:pPr>
    </w:p>
    <w:p>
      <w:pPr>
        <w:numPr>
          <w:ilvl w:val="0"/>
          <w:numId w:val="0"/>
        </w:numPr>
        <w:bidi w:val="0"/>
        <w:ind w:left="0" w:right="0" w:firstLine="720"/>
        <w:jc w:val="both"/>
        <w:outlineLvl w:val="4"/>
        <w:rPr>
          <w:color w:val="000000"/>
          <w:sz w:val="24"/>
        </w:rPr>
      </w:pPr>
      <w:r>
        <w:rPr>
          <w:color w:val="000000"/>
          <w:sz w:val="24"/>
        </w:rPr>
        <w:t>Прописи које Основно јавно тужилаштво у Куршумлији примењује у свом раду:</w:t>
      </w:r>
    </w:p>
    <w:p>
      <w:pPr>
        <w:numPr>
          <w:ilvl w:val="0"/>
          <w:numId w:val="0"/>
        </w:numPr>
        <w:bidi w:val="0"/>
        <w:ind w:left="0" w:right="0" w:firstLine="0"/>
        <w:jc w:val="both"/>
        <w:outlineLvl w:val="4"/>
        <w:rPr>
          <w:color w:val="000000"/>
          <w:sz w:val="24"/>
        </w:rPr>
      </w:pPr>
    </w:p>
    <w:p>
      <w:pPr>
        <w:numPr>
          <w:ilvl w:val="0"/>
          <w:numId w:val="0"/>
        </w:numPr>
        <w:bidi w:val="0"/>
        <w:ind w:left="0" w:right="0" w:firstLine="0"/>
        <w:jc w:val="both"/>
        <w:outlineLvl w:val="4"/>
        <w:rPr>
          <w:color w:val="000000"/>
          <w:sz w:val="24"/>
        </w:rPr>
      </w:pPr>
    </w:p>
    <w:p>
      <w:pPr>
        <w:numPr>
          <w:ilvl w:val="0"/>
          <w:numId w:val="0"/>
        </w:numPr>
        <w:bidi w:val="0"/>
        <w:ind w:left="0" w:right="0" w:firstLine="0"/>
        <w:jc w:val="both"/>
        <w:outlineLvl w:val="4"/>
        <w:rPr>
          <w:color w:val="000000"/>
          <w:sz w:val="24"/>
        </w:rPr>
      </w:pPr>
      <w:r>
        <w:rPr>
          <w:color w:val="000000"/>
          <w:sz w:val="24"/>
        </w:rPr>
        <w:t>1.  Закон о јавном тужилаштву („Службени гласник РС“ бр. 1</w:t>
      </w:r>
      <w:r>
        <w:rPr>
          <w:rFonts w:hint="default"/>
          <w:color w:val="000000"/>
          <w:sz w:val="24"/>
          <w:lang w:val="sr-Cyrl-RS"/>
        </w:rPr>
        <w:t>0/2023</w:t>
      </w:r>
      <w:r>
        <w:rPr>
          <w:color w:val="000000"/>
          <w:sz w:val="24"/>
        </w:rPr>
        <w:t xml:space="preserve">); </w:t>
      </w:r>
    </w:p>
    <w:p>
      <w:pPr>
        <w:numPr>
          <w:ilvl w:val="0"/>
          <w:numId w:val="0"/>
        </w:numPr>
        <w:bidi w:val="0"/>
        <w:ind w:left="0" w:right="0" w:firstLine="0"/>
        <w:jc w:val="both"/>
        <w:outlineLvl w:val="4"/>
        <w:rPr>
          <w:color w:val="000000"/>
          <w:sz w:val="24"/>
        </w:rPr>
      </w:pPr>
      <w:r>
        <w:rPr>
          <w:color w:val="000000"/>
          <w:sz w:val="24"/>
        </w:rPr>
        <w:t xml:space="preserve">2.  Закон о седиштима и подручјима судова и јавних тужилаштава („Службени      гласник РС“ бр. 101/2013); </w:t>
      </w:r>
    </w:p>
    <w:p>
      <w:pPr>
        <w:numPr>
          <w:ilvl w:val="0"/>
          <w:numId w:val="0"/>
        </w:numPr>
        <w:bidi w:val="0"/>
        <w:ind w:left="0" w:right="0" w:firstLine="0"/>
        <w:jc w:val="both"/>
        <w:outlineLvl w:val="4"/>
        <w:rPr>
          <w:color w:val="000000"/>
          <w:sz w:val="24"/>
        </w:rPr>
      </w:pPr>
      <w:r>
        <w:rPr>
          <w:color w:val="000000"/>
          <w:sz w:val="24"/>
        </w:rPr>
        <w:t xml:space="preserve">3.  Законик о кривичном поступку ("Службени гласник РС", бр. 72/2011, 101/2011, 121/2012, 32/2013, 45/2013 и 55/2014); </w:t>
      </w:r>
    </w:p>
    <w:p>
      <w:pPr>
        <w:numPr>
          <w:ilvl w:val="0"/>
          <w:numId w:val="0"/>
        </w:numPr>
        <w:bidi w:val="0"/>
        <w:ind w:left="0" w:right="0" w:firstLine="0"/>
        <w:jc w:val="both"/>
        <w:outlineLvl w:val="4"/>
        <w:rPr>
          <w:color w:val="000000"/>
          <w:sz w:val="24"/>
        </w:rPr>
      </w:pPr>
      <w:r>
        <w:rPr>
          <w:color w:val="000000"/>
          <w:sz w:val="24"/>
        </w:rPr>
        <w:t xml:space="preserve">4.  Кривични законик ("Службени гласник РС" бр. 85/2005, 88/2005 - испр., 107/2005 - испр., 72/2009, 111/2009, 121/2012, 104/2013, 108/2014 i 94/2016 и 35/2019) </w:t>
      </w:r>
    </w:p>
    <w:p>
      <w:pPr>
        <w:numPr>
          <w:ilvl w:val="0"/>
          <w:numId w:val="0"/>
        </w:numPr>
        <w:bidi w:val="0"/>
        <w:ind w:left="0" w:right="0" w:firstLine="0"/>
        <w:jc w:val="both"/>
        <w:outlineLvl w:val="4"/>
        <w:rPr>
          <w:color w:val="000000"/>
          <w:sz w:val="24"/>
        </w:rPr>
      </w:pPr>
      <w:r>
        <w:rPr>
          <w:color w:val="000000"/>
          <w:sz w:val="24"/>
        </w:rPr>
        <w:t>5.  Закон о малолетним учиниоцима кривичних дела и кривично</w:t>
      </w:r>
      <w:r>
        <w:rPr>
          <w:color w:val="000000"/>
          <w:sz w:val="24"/>
          <w:lang w:val="zh-CN"/>
        </w:rPr>
        <w:t>-</w:t>
      </w:r>
      <w:r>
        <w:rPr>
          <w:color w:val="000000"/>
          <w:sz w:val="24"/>
        </w:rPr>
        <w:t xml:space="preserve">правној заштити           малолетних лица (''Сл. гласник РС'' број 85/2005), </w:t>
      </w:r>
    </w:p>
    <w:p>
      <w:pPr>
        <w:numPr>
          <w:ilvl w:val="0"/>
          <w:numId w:val="0"/>
        </w:numPr>
        <w:bidi w:val="0"/>
        <w:ind w:left="0" w:right="0" w:firstLine="0"/>
        <w:jc w:val="both"/>
        <w:outlineLvl w:val="4"/>
        <w:rPr>
          <w:color w:val="000000"/>
          <w:sz w:val="24"/>
        </w:rPr>
      </w:pPr>
      <w:r>
        <w:rPr>
          <w:color w:val="000000"/>
          <w:sz w:val="24"/>
        </w:rPr>
        <w:t xml:space="preserve">6.  Закон о међународној правној помоћи  у кривичним стварима (''Сл. гласник РС''      број 20/2009),  </w:t>
      </w:r>
    </w:p>
    <w:p>
      <w:pPr>
        <w:numPr>
          <w:ilvl w:val="0"/>
          <w:numId w:val="0"/>
        </w:numPr>
        <w:bidi w:val="0"/>
        <w:ind w:left="0" w:right="0" w:firstLine="0"/>
        <w:jc w:val="both"/>
        <w:outlineLvl w:val="4"/>
        <w:rPr>
          <w:color w:val="000000"/>
          <w:sz w:val="24"/>
        </w:rPr>
      </w:pPr>
      <w:r>
        <w:rPr>
          <w:color w:val="000000"/>
          <w:sz w:val="24"/>
        </w:rPr>
        <w:t xml:space="preserve">7.  Закон о одузимању имовине проистекле из кривичног дела (''Сл. гласник РС''       број32/2013 i 94/2016), </w:t>
      </w:r>
    </w:p>
    <w:p>
      <w:pPr>
        <w:numPr>
          <w:ilvl w:val="0"/>
          <w:numId w:val="0"/>
        </w:numPr>
        <w:bidi w:val="0"/>
        <w:ind w:left="0" w:right="0" w:firstLine="0"/>
        <w:jc w:val="both"/>
        <w:outlineLvl w:val="4"/>
        <w:rPr>
          <w:color w:val="000000"/>
          <w:sz w:val="24"/>
        </w:rPr>
      </w:pPr>
      <w:r>
        <w:rPr>
          <w:color w:val="000000"/>
          <w:sz w:val="24"/>
        </w:rPr>
        <w:t xml:space="preserve">8.  Закон о слободном приступу информацијама од јавног значаја (''Сл. гласник РС''       број 20/2004, 54/2007, 104/2009 и 36/2010), </w:t>
      </w:r>
    </w:p>
    <w:p>
      <w:pPr>
        <w:numPr>
          <w:ilvl w:val="0"/>
          <w:numId w:val="0"/>
        </w:numPr>
        <w:bidi w:val="0"/>
        <w:ind w:left="0" w:right="0" w:firstLine="0"/>
        <w:jc w:val="both"/>
        <w:outlineLvl w:val="4"/>
        <w:rPr>
          <w:color w:val="000000"/>
          <w:sz w:val="24"/>
        </w:rPr>
      </w:pPr>
      <w:r>
        <w:rPr>
          <w:color w:val="000000"/>
          <w:sz w:val="24"/>
        </w:rPr>
        <w:t>9. Закон о спречавању насиља у породици</w:t>
      </w:r>
    </w:p>
    <w:p>
      <w:pPr>
        <w:numPr>
          <w:ilvl w:val="0"/>
          <w:numId w:val="0"/>
        </w:numPr>
        <w:bidi w:val="0"/>
        <w:ind w:left="0" w:right="0" w:firstLine="0"/>
        <w:jc w:val="both"/>
        <w:outlineLvl w:val="4"/>
        <w:rPr>
          <w:color w:val="000000"/>
          <w:sz w:val="24"/>
        </w:rPr>
      </w:pPr>
      <w:r>
        <w:rPr>
          <w:color w:val="000000"/>
          <w:sz w:val="24"/>
        </w:rPr>
        <w:t xml:space="preserve">10. Правилник о допунама Правилника управи у јавним тужилаштвима ("Службени гласник РС", бр. 110/2009, 87/2010, 5/2012 и 54/2017)  </w:t>
      </w:r>
    </w:p>
    <w:p>
      <w:pPr>
        <w:numPr>
          <w:ilvl w:val="0"/>
          <w:numId w:val="0"/>
        </w:numPr>
        <w:bidi w:val="0"/>
        <w:ind w:left="0" w:right="0" w:firstLine="0"/>
        <w:jc w:val="both"/>
        <w:outlineLvl w:val="4"/>
        <w:rPr>
          <w:color w:val="000000"/>
          <w:sz w:val="24"/>
        </w:rPr>
      </w:pPr>
      <w:r>
        <w:rPr>
          <w:color w:val="000000"/>
          <w:sz w:val="24"/>
        </w:rPr>
        <w:t xml:space="preserve">11.Закона о општем управном поступку („Службени гласник РС“, број 18/16) </w:t>
      </w:r>
    </w:p>
    <w:p>
      <w:pPr>
        <w:numPr>
          <w:ilvl w:val="0"/>
          <w:numId w:val="0"/>
        </w:numPr>
        <w:bidi w:val="0"/>
        <w:ind w:left="0" w:right="0" w:firstLine="0"/>
        <w:jc w:val="both"/>
        <w:outlineLvl w:val="4"/>
        <w:rPr>
          <w:color w:val="000000"/>
          <w:sz w:val="24"/>
        </w:rPr>
      </w:pPr>
      <w:r>
        <w:rPr>
          <w:color w:val="000000"/>
          <w:sz w:val="24"/>
        </w:rPr>
        <w:t>12. Закона о прекршајима („Сл. гласник РС“ бр. 65/13, 13/16 и 98/16-одлука УС);); 13. други позитивн</w:t>
      </w:r>
      <w:r>
        <w:rPr>
          <w:color w:val="000000"/>
          <w:sz w:val="24"/>
          <w:lang w:val="zh-CN"/>
        </w:rPr>
        <w:t xml:space="preserve">и </w:t>
      </w:r>
      <w:r>
        <w:rPr>
          <w:color w:val="000000"/>
          <w:sz w:val="24"/>
        </w:rPr>
        <w:t>правни прописи</w:t>
      </w:r>
      <w:r>
        <w:rPr>
          <w:color w:val="000000"/>
          <w:sz w:val="24"/>
          <w:lang w:val="zh-CN"/>
        </w:rPr>
        <w:t>.</w:t>
      </w:r>
      <w:r>
        <w:rPr>
          <w:color w:val="000000"/>
          <w:sz w:val="24"/>
        </w:rPr>
        <w:t xml:space="preserve"> </w:t>
      </w:r>
    </w:p>
    <w:p>
      <w:pPr>
        <w:bidi w:val="0"/>
        <w:jc w:val="both"/>
        <w:rPr>
          <w:color w:val="000000"/>
          <w:sz w:val="24"/>
        </w:rPr>
      </w:pPr>
    </w:p>
    <w:p>
      <w:pPr>
        <w:bidi w:val="0"/>
        <w:jc w:val="both"/>
        <w:rPr>
          <w:color w:val="000000"/>
          <w:sz w:val="24"/>
        </w:rPr>
      </w:pPr>
    </w:p>
    <w:p>
      <w:pPr>
        <w:numPr>
          <w:ilvl w:val="0"/>
          <w:numId w:val="0"/>
        </w:numPr>
        <w:bidi w:val="0"/>
        <w:ind w:left="0" w:right="0" w:firstLine="0"/>
        <w:jc w:val="center"/>
        <w:outlineLvl w:val="0"/>
        <w:rPr>
          <w:b/>
          <w:sz w:val="24"/>
        </w:rPr>
      </w:pPr>
      <w:bookmarkStart w:id="9" w:name="_Toc517172840"/>
      <w:bookmarkEnd w:id="9"/>
      <w:r>
        <w:rPr>
          <w:b/>
          <w:sz w:val="24"/>
        </w:rPr>
        <w:t>IX  -  УСЛУГЕ КОЈЕ ОРГАН ПРУЖА ЗАИНТЕРЕСОВАНИМ Л</w:t>
      </w:r>
      <w:r>
        <w:rPr>
          <w:b/>
          <w:sz w:val="24"/>
          <w:lang w:val="sr-Cyrl-RS"/>
        </w:rPr>
        <w:t>И</w:t>
      </w:r>
      <w:r>
        <w:rPr>
          <w:b/>
          <w:sz w:val="24"/>
        </w:rPr>
        <w:t>ЦИМА</w:t>
      </w:r>
    </w:p>
    <w:p>
      <w:pPr>
        <w:bidi w:val="0"/>
        <w:jc w:val="both"/>
        <w:rPr>
          <w:b/>
          <w:sz w:val="24"/>
        </w:rPr>
      </w:pPr>
    </w:p>
    <w:p>
      <w:pPr>
        <w:bidi w:val="0"/>
        <w:jc w:val="both"/>
        <w:rPr>
          <w:b/>
          <w:sz w:val="24"/>
        </w:rPr>
      </w:pPr>
    </w:p>
    <w:p>
      <w:pPr>
        <w:numPr>
          <w:ilvl w:val="0"/>
          <w:numId w:val="0"/>
        </w:numPr>
        <w:bidi w:val="0"/>
        <w:ind w:left="0" w:right="0" w:firstLine="720"/>
        <w:jc w:val="both"/>
        <w:outlineLvl w:val="4"/>
        <w:rPr>
          <w:sz w:val="24"/>
        </w:rPr>
      </w:pPr>
      <w:r>
        <w:rPr>
          <w:sz w:val="24"/>
        </w:rPr>
        <w:t xml:space="preserve">Основно јавно тужилаштво у Куршумлији организује свој рад тако да грађани могу на ефикасан начин остварити своја права и законом заштићене интересе из надлежности јавног тужилаштва. Јавно тужилаштво је дужно да од грађана прима поднеске или на записник узима кривичне пријаве, предлоге и друге изјаве ради предузимања радњи на које је овлашћено. </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 xml:space="preserve">Јавно тужилаштво је дужно да од грађана прима молбе, притужбе, предлоге и друге поднеске којима се подносиоци обраћају јавном тужилаштву ради заштите и ефикасног остварења својих права, правних интереса и обавеза.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Пријем грађана и давање обавештења врши јавни тужилац или заменик кога одреди. Грађане који се интересују о стању поступка и одлукама по предметима датим у рад појединим заменицима јавног тужиоца, могу примити и дати потребна обавештења заменици јавног тужиоца који поступају у тим предметима. Грађани који у јавно тужилаштво долазе без позива примају се у време одређено посебном одлуком јавног тужиоца.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Време одређено за пријем странака у Основном јавном тужилаштву у Куршумлији је уторком и петком од 08 до 14 часова и четврком од 08 до 10 часова и означено је на улазу у службене просторије јавног тужилаштва. Ван предвиђеног времена грађани могу да буду примљени у јавно тужилаштво само у случају када јавни тужилац процени да је то неопходно. Јавни тужилац може да одреди да се приликом уласка у зграду врши безбедносни преглед грађана и ствари које носе.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По захтевима грађана за издавање уверења и потврда о чињеницама о којима јавно тужилаштво води евиденцију се поступа без одлагања.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Поједини списи из предмета или предмети у којима јавни тужилац поступа могу се дати на разматрање само лицима која за то имају оправдани интерес. Овим лицима се може дати фотокопија списа.</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Свако ко има оправдан интерес и обратио се Основном јавном тужилаштву у Куршумлији за поступање у стварима за које је надлежно јавно тужилаштво, има право на подношење представке или притужбе на рад јавног тужилаштва и да о одлуци по представци или притужби буде обавештен.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Представка је молба, притужба или други поднесак грађана или правних лица ради ефикасног остваривања и заштите својих права. Притужба је правно средство којим се обраћају грађани, правна лица, државни органи или органи аутономне покрајине и јединица локалне самоуправе јавном тужилаштву ради законитог и експедитивног решавања њихових захтева поводом поступања у предметима.</w:t>
      </w:r>
    </w:p>
    <w:p>
      <w:pPr>
        <w:bidi w:val="0"/>
        <w:jc w:val="both"/>
        <w:rPr>
          <w:sz w:val="24"/>
        </w:rPr>
      </w:pPr>
    </w:p>
    <w:p>
      <w:pPr>
        <w:bidi w:val="0"/>
        <w:jc w:val="both"/>
        <w:rPr>
          <w:sz w:val="24"/>
        </w:rPr>
      </w:pPr>
    </w:p>
    <w:p>
      <w:pPr>
        <w:numPr>
          <w:ilvl w:val="0"/>
          <w:numId w:val="0"/>
        </w:numPr>
        <w:bidi w:val="0"/>
        <w:ind w:left="0" w:right="0" w:firstLine="0"/>
        <w:jc w:val="center"/>
        <w:outlineLvl w:val="0"/>
        <w:rPr>
          <w:b/>
          <w:sz w:val="24"/>
        </w:rPr>
      </w:pPr>
      <w:bookmarkStart w:id="10" w:name="_Toc517172841"/>
      <w:bookmarkEnd w:id="10"/>
      <w:r>
        <w:rPr>
          <w:b/>
          <w:sz w:val="24"/>
        </w:rPr>
        <w:t>X  -  ПОСТУПАК РАДИ ПРУЖАЊА УСЛУГА</w:t>
      </w:r>
    </w:p>
    <w:p>
      <w:pPr>
        <w:bidi w:val="0"/>
        <w:jc w:val="left"/>
        <w:rPr>
          <w:b/>
          <w:sz w:val="24"/>
        </w:rPr>
      </w:pPr>
    </w:p>
    <w:p>
      <w:pPr>
        <w:bidi w:val="0"/>
        <w:jc w:val="left"/>
        <w:rPr>
          <w:b/>
          <w:sz w:val="24"/>
        </w:rPr>
      </w:pPr>
    </w:p>
    <w:p>
      <w:pPr>
        <w:numPr>
          <w:ilvl w:val="0"/>
          <w:numId w:val="0"/>
        </w:numPr>
        <w:bidi w:val="0"/>
        <w:ind w:left="0" w:right="0" w:firstLine="720"/>
        <w:jc w:val="both"/>
        <w:outlineLvl w:val="4"/>
        <w:rPr>
          <w:sz w:val="24"/>
        </w:rPr>
      </w:pPr>
      <w:r>
        <w:rPr>
          <w:sz w:val="24"/>
        </w:rPr>
        <w:t xml:space="preserve">Кривична пријава се Основном јавном тужилаштву у Куршумлији може поднети писаним путем, телефоном и усмено на записник.  </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 xml:space="preserve"> Писана кривична пријава може се непосредно предати у писарници која се налази у канцеларији број 15 у просторијама тужилаштва. Писана кривична пријава може се послати и електронском поштом на званичну електронску адресу тужилаштва </w:t>
      </w:r>
      <w:r>
        <w:rPr>
          <w:sz w:val="24"/>
        </w:rPr>
        <w:fldChar w:fldCharType="begin"/>
      </w:r>
      <w:r>
        <w:rPr>
          <w:sz w:val="24"/>
        </w:rPr>
        <w:instrText xml:space="preserve"> HYPERLINK "mailto:ojtkursumlija1@gmail.com" </w:instrText>
      </w:r>
      <w:r>
        <w:rPr>
          <w:sz w:val="24"/>
        </w:rPr>
        <w:fldChar w:fldCharType="separate"/>
      </w:r>
      <w:r>
        <w:rPr>
          <w:rStyle w:val="8"/>
          <w:sz w:val="24"/>
        </w:rPr>
        <w:t>ojtkursumlija1@gmail.com</w:t>
      </w:r>
      <w:r>
        <w:rPr>
          <w:sz w:val="24"/>
        </w:rPr>
        <w:fldChar w:fldCharType="end"/>
      </w:r>
      <w:r>
        <w:rPr>
          <w:rFonts w:hint="default"/>
          <w:sz w:val="24"/>
          <w:lang w:val="sr-Cyrl-RS"/>
        </w:rPr>
        <w:t xml:space="preserve"> и uprava@kursumlija.ojt.rs</w:t>
      </w:r>
      <w:r>
        <w:rPr>
          <w:sz w:val="24"/>
        </w:rPr>
        <w:t>. На сва примљена писмена ставља се пријемни печат и уписује датум пријема. Одмах по пријему, кривична пријава се заводи у одговарајући уписник и додељује у рад обрађивачу.</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Кривична пријава се може поднети и усмено и то путем телефона, позивом на број 027/381-047, у ком случају ће службено лице поводом кривичне пријаве поднете на овај начин сачинити службену белешку, која се затим уводи у одговарајући уписник и додељује у рад обрађивачу.</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Подносилац кривичну пријаву може поднети и усмено на записник у просторијама тужилаштва на тај начин што ће садржину кривичне пријаве саопштити службеном лицу које потом сачињава записник о пријему кривичне пријаве, а који се потом заводи у одговарајући уписник и додељује у рад обрађивачу. Пре узимања кривичне пријаве на записник, службено лице ће подносиоца упозорити на последице лажног пријављивања. За подношење кривичне пријаве не плаћа се било каква такса. Ако се из изјаве може закључити да кривична пријава није основана, поучиће се о томе лице које даје изјаву. Ако и после ове поуке лице не одустане од давања изјаве, изјава ће се примити на записник и поука забележити у спису, а потом донети одлука.</w:t>
      </w:r>
    </w:p>
    <w:p>
      <w:pPr>
        <w:numPr>
          <w:ilvl w:val="0"/>
          <w:numId w:val="0"/>
        </w:numPr>
        <w:bidi w:val="0"/>
        <w:ind w:left="0" w:right="0" w:firstLine="720"/>
        <w:jc w:val="both"/>
        <w:outlineLvl w:val="4"/>
        <w:rPr>
          <w:sz w:val="24"/>
        </w:rPr>
      </w:pPr>
    </w:p>
    <w:p>
      <w:pPr>
        <w:numPr>
          <w:ilvl w:val="0"/>
          <w:numId w:val="0"/>
        </w:numPr>
        <w:bidi w:val="0"/>
        <w:ind w:left="0" w:right="0" w:firstLine="0"/>
        <w:jc w:val="both"/>
        <w:outlineLvl w:val="4"/>
        <w:rPr>
          <w:sz w:val="24"/>
        </w:rPr>
      </w:pPr>
      <w:r>
        <w:rPr>
          <w:sz w:val="24"/>
        </w:rPr>
        <w:t xml:space="preserve"> </w:t>
      </w:r>
      <w:r>
        <w:rPr>
          <w:sz w:val="24"/>
        </w:rPr>
        <w:tab/>
      </w:r>
      <w:r>
        <w:rPr>
          <w:sz w:val="24"/>
        </w:rPr>
        <w:t xml:space="preserve">Тужилаштво је дужно да од грађана прима кривичне пријаве, као и друге молбе, притужбе предлоге и друге поднеске којима се подносиоци обраћају јавном тужилаштву ради заштите и ефикасног остварења својих права, правних интереса и обавеза.  </w:t>
      </w: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r>
        <w:rPr>
          <w:sz w:val="24"/>
        </w:rPr>
        <w:t xml:space="preserve"> </w:t>
      </w:r>
      <w:r>
        <w:rPr>
          <w:sz w:val="24"/>
        </w:rPr>
        <w:tab/>
      </w:r>
      <w:r>
        <w:rPr>
          <w:sz w:val="24"/>
        </w:rPr>
        <w:t xml:space="preserve">Ради вршења увида и фотокопирања из списа предмета странка у поступку и лице које има оправдани интерес подноси молбу која се предаје уписнику Oсновног јавног тужилаштва у Куршумлији. Молба садржи податке о предмету и списима у које странка захтева увид или жели да фотокопира. О захтеву одлучује јавни тужилац или лице које он одреди, односно заменик јавног тужиоца коме је предмет додељен у рад. Увид у списе предмета врши се у писарници у присуству и под надзором радника писарнице. Не могу се давати на разматрање списи нити фотокопије списа у предметима других органа који се налазе у јавном тужилаштву. Законик о кривичном поступку предвиђа ограничења за окривљеног који није саслушан, односно оштећеног који није испитан у својству сведока. У том смислу, окривљени и његов бранилац непосредно пре првог саслушања могу да изврше увид само у кривичну пријаву са прилозима и записник о вештачењу, док се оштећеном пре испитивања у својству сведока може ускратити увид у списе предмета.  </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 xml:space="preserve"> Против одлуке којом се одбија молба странака за увид и фотокопирање, није дозвољена посебна жалба, а незадовољна странка може изјавити притужбу на рад сходно чл. 72 Правилника у управи у јавним тужилаштвима. Притужба на рад заменика јавног тужиоца или запосленог, подноси се јавном тужиоцу, а на рад јавног тужиоца, непосредно вишем јавном тужиоцу, односно Вишем јавном тужиоцу у Прокупљу. Јавни тужилац је дужан да обавести подносиоца притужбе о предузетим мерама у року од 30 дана од дана пријема притужбе, односно представке.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0"/>
        <w:jc w:val="both"/>
        <w:outlineLvl w:val="4"/>
        <w:rPr>
          <w:sz w:val="24"/>
        </w:rPr>
      </w:pPr>
      <w:r>
        <w:rPr>
          <w:sz w:val="24"/>
        </w:rPr>
        <w:t xml:space="preserve"> </w:t>
      </w:r>
      <w:r>
        <w:rPr>
          <w:sz w:val="24"/>
        </w:rPr>
        <w:tab/>
      </w:r>
      <w:r>
        <w:rPr>
          <w:sz w:val="24"/>
        </w:rPr>
        <w:t xml:space="preserve">Грађане који у тужилаштво долазе без позива, а који се интересују о стању поступка и одлукама по предметима датим у рад заменицима јавног тужилаштва, прима и даје потребна обавештења заменик јавног тужиоца коме је конкретан предмет додељен у рад.  </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 xml:space="preserve"> Давање обавештења о предметима врши се у писарници на усмени захтев грађана. Обавештење ће одмах, након провере података које му саопшти странка, дати радник писарнице на основу података из уписника. Приликом давања обавештења не могу се давати подаци о вероватном исходу поступка, нити оцене о правилности судских и радњи других органа или одлукама суда и ових органа. Радници у писарници могу на основу података из уписника давати само </w:t>
      </w:r>
      <w:r>
        <w:rPr>
          <w:sz w:val="24"/>
          <w:lang w:val="sr-Cyrl-RS"/>
        </w:rPr>
        <w:t>обавештења</w:t>
      </w:r>
      <w:r>
        <w:rPr>
          <w:sz w:val="24"/>
        </w:rPr>
        <w:t xml:space="preserve"> на која их овласти јавни тужилац или заменик </w:t>
      </w:r>
      <w:r>
        <w:rPr>
          <w:sz w:val="24"/>
          <w:lang w:val="sr-Cyrl-RS"/>
        </w:rPr>
        <w:t>јавног</w:t>
      </w:r>
      <w:r>
        <w:rPr>
          <w:sz w:val="24"/>
        </w:rPr>
        <w:t xml:space="preserve"> тужиоца кога он одреди – заменик јавног тужиоца који поступа у предмету. Странка која није задовољна поступањем радника писарнице може </w:t>
      </w:r>
      <w:r>
        <w:rPr>
          <w:sz w:val="24"/>
          <w:lang w:val="sr-Cyrl-RS"/>
        </w:rPr>
        <w:t>поднети</w:t>
      </w:r>
      <w:r>
        <w:rPr>
          <w:sz w:val="24"/>
        </w:rPr>
        <w:t xml:space="preserve"> притужбу на рад, сходно чл. 72. Правилника о управи у јавним тужилаштвима.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Представка или притужба на рад јавног тужиоца или запосленог Основног јавног тужилаштва у Куршумлији, подноси се јавном тужиоцу, а на рад </w:t>
      </w:r>
      <w:r>
        <w:rPr>
          <w:sz w:val="24"/>
          <w:lang w:val="sr-Cyrl-RS"/>
        </w:rPr>
        <w:t>главног</w:t>
      </w:r>
      <w:r>
        <w:rPr>
          <w:rFonts w:hint="default"/>
          <w:sz w:val="24"/>
          <w:lang w:val="sr-Cyrl-RS"/>
        </w:rPr>
        <w:t xml:space="preserve"> </w:t>
      </w:r>
      <w:r>
        <w:rPr>
          <w:sz w:val="24"/>
        </w:rPr>
        <w:t xml:space="preserve">јавног тужиоца, непосредно вишем </w:t>
      </w:r>
      <w:r>
        <w:rPr>
          <w:sz w:val="24"/>
          <w:lang w:val="sr-Cyrl-RS"/>
        </w:rPr>
        <w:t>главном</w:t>
      </w:r>
      <w:r>
        <w:rPr>
          <w:rFonts w:hint="default"/>
          <w:sz w:val="24"/>
          <w:lang w:val="sr-Cyrl-RS"/>
        </w:rPr>
        <w:t xml:space="preserve"> </w:t>
      </w:r>
      <w:r>
        <w:rPr>
          <w:sz w:val="24"/>
        </w:rPr>
        <w:t>јавном тужиоцу, односно Вишем</w:t>
      </w:r>
      <w:r>
        <w:rPr>
          <w:rFonts w:hint="default"/>
          <w:sz w:val="24"/>
          <w:lang w:val="sr-Cyrl-RS"/>
        </w:rPr>
        <w:t xml:space="preserve"> главном </w:t>
      </w:r>
      <w:r>
        <w:rPr>
          <w:sz w:val="24"/>
        </w:rPr>
        <w:t xml:space="preserve"> јавном тужиоцу у Прокупљу.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Представка и притужба подносе се у писаној форми писарници тужилаштва, а могу се послати и поштом на адресу тужилаштва, ул. Палих бораца бр. 29, Куршумлија или електронском поштом преко званичне е-маил адресе тужилаштва </w:t>
      </w:r>
      <w:r>
        <w:rPr>
          <w:sz w:val="24"/>
        </w:rPr>
        <w:fldChar w:fldCharType="begin"/>
      </w:r>
      <w:r>
        <w:rPr>
          <w:sz w:val="24"/>
        </w:rPr>
        <w:instrText xml:space="preserve"> HYPERLINK "mailto:ojtkursumlija1@gmail.com" </w:instrText>
      </w:r>
      <w:r>
        <w:rPr>
          <w:sz w:val="24"/>
        </w:rPr>
        <w:fldChar w:fldCharType="separate"/>
      </w:r>
      <w:r>
        <w:rPr>
          <w:rStyle w:val="8"/>
          <w:sz w:val="24"/>
        </w:rPr>
        <w:t>ojtkursumlija1@gmail.com</w:t>
      </w:r>
      <w:r>
        <w:rPr>
          <w:sz w:val="24"/>
        </w:rPr>
        <w:fldChar w:fldCharType="end"/>
      </w:r>
      <w:r>
        <w:rPr>
          <w:rFonts w:hint="default"/>
          <w:sz w:val="24"/>
          <w:lang w:val="sr-Cyrl-RS"/>
        </w:rPr>
        <w:t xml:space="preserve"> и uprava@kursumlija.ojt.rs</w:t>
      </w:r>
      <w:r>
        <w:rPr>
          <w:sz w:val="24"/>
        </w:rPr>
        <w:t>.</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У притужби односно представци наводи се број предмета у вези са којим странка подноси захтев за законитим и експедитивним решавањем њеног захтева, као и пропусти који су по мишљењу странке учињени поводом решавања тог захтева.  </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lang w:val="sr-Cyrl-RS"/>
        </w:rPr>
        <w:t>Главни</w:t>
      </w:r>
      <w:r>
        <w:rPr>
          <w:rFonts w:hint="default"/>
          <w:sz w:val="24"/>
          <w:lang w:val="sr-Cyrl-RS"/>
        </w:rPr>
        <w:t xml:space="preserve"> ј</w:t>
      </w:r>
      <w:r>
        <w:rPr>
          <w:sz w:val="24"/>
        </w:rPr>
        <w:t xml:space="preserve">авни тужилац је дужан да о основаности представке или притужбе писмено обавести подносиоца притужбе односно представке о предузетим мерама у року од 30 дана од дана пријема притужбе, односно представке.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Уколико је притужба неразумљива, </w:t>
      </w:r>
      <w:r>
        <w:rPr>
          <w:sz w:val="24"/>
          <w:lang w:val="sr-Cyrl-RS"/>
        </w:rPr>
        <w:t>главни</w:t>
      </w:r>
      <w:r>
        <w:rPr>
          <w:rFonts w:hint="default"/>
          <w:sz w:val="24"/>
          <w:lang w:val="sr-Cyrl-RS"/>
        </w:rPr>
        <w:t xml:space="preserve"> </w:t>
      </w:r>
      <w:r>
        <w:rPr>
          <w:sz w:val="24"/>
        </w:rPr>
        <w:t xml:space="preserve">јавни тужилац је дужан да подносиоцу притужбе укаже на неразумљивост и да га позове да уреди садржину притужбе у року од осам дана од дана пријема притужбе. Уколико подносилац у предвиђеном року притужбу не уреди, </w:t>
      </w:r>
      <w:r>
        <w:rPr>
          <w:sz w:val="24"/>
          <w:lang w:val="sr-Cyrl-RS"/>
        </w:rPr>
        <w:t>главни</w:t>
      </w:r>
      <w:r>
        <w:rPr>
          <w:rFonts w:hint="default"/>
          <w:sz w:val="24"/>
          <w:lang w:val="sr-Cyrl-RS"/>
        </w:rPr>
        <w:t xml:space="preserve"> </w:t>
      </w:r>
      <w:r>
        <w:rPr>
          <w:sz w:val="24"/>
        </w:rPr>
        <w:t xml:space="preserve">јавни тужилац о томе сачињава службену белешку у којој констатује да подносилац злоупотребљава право на подношење притужбе. Сматраће се да подносилац притужбе злоупотребљава право уколико притужба има претежно неразумну или увредљиву садржину или уколико подносилац учестало подноси притужбе исте или сличне садржине.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Против одлуке јавног тужиоца о поднетој притужби, не може се изјавити жалба нити приговор али се може поднети притужба непосредно вишем јавном тужилаштву.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lang w:val="zh-CN"/>
        </w:rPr>
      </w:pPr>
      <w:r>
        <w:rPr>
          <w:sz w:val="24"/>
        </w:rPr>
        <w:t xml:space="preserve">Уколико су представка или притужба поднете преко </w:t>
      </w:r>
      <w:r>
        <w:rPr>
          <w:sz w:val="24"/>
          <w:lang w:val="sr-Cyrl-RS"/>
        </w:rPr>
        <w:t>Високог</w:t>
      </w:r>
      <w:r>
        <w:rPr>
          <w:rFonts w:hint="default"/>
          <w:sz w:val="24"/>
          <w:lang w:val="sr-Cyrl-RS"/>
        </w:rPr>
        <w:t xml:space="preserve"> савета тужилаштва</w:t>
      </w:r>
      <w:r>
        <w:rPr>
          <w:sz w:val="24"/>
        </w:rPr>
        <w:t>, Министарства надлежног за правосуђе, Републичког јавног тужилаштва или другог надређеног јавног тужилаштва, о основаности притужбе и предузетим мерама обавештавају</w:t>
      </w:r>
      <w:r>
        <w:rPr>
          <w:sz w:val="24"/>
          <w:lang w:val="zh-CN"/>
        </w:rPr>
        <w:t xml:space="preserve"> се и ови органи.</w:t>
      </w:r>
    </w:p>
    <w:p>
      <w:pPr>
        <w:numPr>
          <w:ilvl w:val="0"/>
          <w:numId w:val="0"/>
        </w:numPr>
        <w:bidi w:val="0"/>
        <w:ind w:left="0" w:right="0" w:firstLine="720"/>
        <w:jc w:val="both"/>
        <w:outlineLvl w:val="4"/>
        <w:rPr>
          <w:sz w:val="24"/>
        </w:rPr>
      </w:pPr>
    </w:p>
    <w:p>
      <w:pPr>
        <w:numPr>
          <w:ilvl w:val="0"/>
          <w:numId w:val="0"/>
        </w:numPr>
        <w:bidi w:val="0"/>
        <w:ind w:left="0" w:right="0" w:firstLine="0"/>
        <w:jc w:val="both"/>
        <w:outlineLvl w:val="4"/>
        <w:rPr>
          <w:sz w:val="24"/>
        </w:rPr>
      </w:pPr>
      <w:r>
        <w:rPr>
          <w:sz w:val="24"/>
        </w:rPr>
        <w:t xml:space="preserve"> </w:t>
      </w:r>
      <w:r>
        <w:rPr>
          <w:sz w:val="24"/>
        </w:rPr>
        <w:tab/>
      </w:r>
      <w:r>
        <w:rPr>
          <w:sz w:val="24"/>
        </w:rPr>
        <w:t>На поступак одлучивања по захтевима за приступ инфо</w:t>
      </w:r>
      <w:r>
        <w:rPr>
          <w:sz w:val="24"/>
          <w:lang w:val="zh-CN"/>
        </w:rPr>
        <w:t>р</w:t>
      </w:r>
      <w:r>
        <w:rPr>
          <w:sz w:val="24"/>
        </w:rPr>
        <w:t xml:space="preserve">мацијама од јавног значаја примењује се Закон о слободном приступу информација од јавног значаја. </w:t>
      </w:r>
    </w:p>
    <w:p>
      <w:pPr>
        <w:bidi w:val="0"/>
        <w:jc w:val="both"/>
        <w:rPr>
          <w:sz w:val="24"/>
        </w:rPr>
      </w:pPr>
    </w:p>
    <w:p>
      <w:pPr>
        <w:bidi w:val="0"/>
        <w:jc w:val="both"/>
        <w:rPr>
          <w:sz w:val="24"/>
        </w:rPr>
      </w:pPr>
    </w:p>
    <w:p>
      <w:pPr>
        <w:numPr>
          <w:ilvl w:val="0"/>
          <w:numId w:val="0"/>
        </w:numPr>
        <w:bidi w:val="0"/>
        <w:ind w:left="0" w:right="0" w:firstLine="0"/>
        <w:jc w:val="center"/>
        <w:outlineLvl w:val="0"/>
        <w:rPr>
          <w:b/>
          <w:sz w:val="24"/>
        </w:rPr>
      </w:pPr>
      <w:bookmarkStart w:id="11" w:name="_Toc517172842"/>
      <w:bookmarkEnd w:id="11"/>
      <w:r>
        <w:rPr>
          <w:b/>
          <w:sz w:val="24"/>
        </w:rPr>
        <w:t>XI  -  ПРЕГЛЕД ПОДАТАКА О ПРУЖЕНИМ УСЛУГАМА</w:t>
      </w:r>
    </w:p>
    <w:p>
      <w:pPr>
        <w:bidi w:val="0"/>
        <w:jc w:val="both"/>
        <w:rPr>
          <w:sz w:val="24"/>
        </w:rPr>
      </w:pPr>
    </w:p>
    <w:p>
      <w:pPr>
        <w:bidi w:val="0"/>
        <w:jc w:val="both"/>
        <w:rPr>
          <w:sz w:val="24"/>
        </w:rPr>
      </w:pPr>
    </w:p>
    <w:p>
      <w:pPr>
        <w:numPr>
          <w:ilvl w:val="0"/>
          <w:numId w:val="0"/>
        </w:numPr>
        <w:bidi w:val="0"/>
        <w:ind w:left="0" w:right="0" w:firstLine="720"/>
        <w:jc w:val="both"/>
        <w:outlineLvl w:val="4"/>
        <w:rPr>
          <w:sz w:val="24"/>
        </w:rPr>
      </w:pPr>
      <w:r>
        <w:rPr>
          <w:sz w:val="24"/>
        </w:rPr>
        <w:t>У Oсновном јавном тужилаштву у Куршумлији све запримљене кривичне пријаве, молбе, предлози, изјаве, притужбе и други поднесци, уводе се у одговарајуће уписнике, сходно њиховој садржини, без обзира да ли су њихови подносиоци државни органи, правна лица или грађани. Врсте уписника који постоје у Oсновном јавном тужилаштву у Куршумлији, као и садржина онога шта се у који од уписника заводи, детаљније је описана у глави XVIII овог Информатора.</w:t>
      </w: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pPr>
      <w:r>
        <w:rPr>
          <w:b/>
          <w:sz w:val="24"/>
        </w:rPr>
        <w:t>У временском периоду од 01.01.202</w:t>
      </w:r>
      <w:r>
        <w:rPr>
          <w:rFonts w:hint="default"/>
          <w:b/>
          <w:sz w:val="24"/>
          <w:lang w:val="sr-Cyrl-RS"/>
        </w:rPr>
        <w:t>2</w:t>
      </w:r>
      <w:r>
        <w:rPr>
          <w:b/>
          <w:sz w:val="24"/>
        </w:rPr>
        <w:t>. године до 31.12.202</w:t>
      </w:r>
      <w:r>
        <w:rPr>
          <w:rFonts w:hint="default"/>
          <w:b/>
          <w:sz w:val="24"/>
          <w:lang w:val="sr-Cyrl-RS"/>
        </w:rPr>
        <w:t>2</w:t>
      </w:r>
      <w:r>
        <w:rPr>
          <w:b/>
          <w:sz w:val="24"/>
        </w:rPr>
        <w:t>. године Основно јавно тужилаш</w:t>
      </w:r>
      <w:r>
        <w:rPr>
          <w:b/>
          <w:sz w:val="24"/>
          <w:lang w:val="zh-CN"/>
        </w:rPr>
        <w:t>т</w:t>
      </w:r>
      <w:r>
        <w:rPr>
          <w:b/>
          <w:sz w:val="24"/>
        </w:rPr>
        <w:t>во у Куршумлији имало је:</w:t>
      </w:r>
    </w:p>
    <w:p>
      <w:pPr>
        <w:numPr>
          <w:ilvl w:val="0"/>
          <w:numId w:val="0"/>
        </w:numPr>
        <w:bidi w:val="0"/>
        <w:ind w:left="0" w:right="0" w:firstLine="720"/>
        <w:jc w:val="both"/>
        <w:outlineLvl w:val="4"/>
        <w:rPr>
          <w:b/>
          <w:sz w:val="24"/>
        </w:rPr>
      </w:pPr>
    </w:p>
    <w:p>
      <w:pPr>
        <w:numPr>
          <w:ilvl w:val="0"/>
          <w:numId w:val="0"/>
        </w:numPr>
        <w:bidi w:val="0"/>
        <w:ind w:left="0" w:right="0" w:firstLine="720"/>
        <w:jc w:val="both"/>
        <w:outlineLvl w:val="4"/>
        <w:rPr>
          <w:b/>
          <w:sz w:val="24"/>
        </w:rPr>
      </w:pPr>
    </w:p>
    <w:tbl>
      <w:tblPr>
        <w:tblStyle w:val="11"/>
        <w:tblpPr w:leftFromText="180" w:rightFromText="180" w:vertAnchor="text" w:horzAnchor="margin" w:tblpX="1" w:tblpY="38"/>
        <w:tblW w:w="8777" w:type="dxa"/>
        <w:tblInd w:w="93"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88" w:type="dxa"/>
          <w:bottom w:w="0" w:type="dxa"/>
          <w:right w:w="108" w:type="dxa"/>
        </w:tblCellMar>
      </w:tblPr>
      <w:tblGrid>
        <w:gridCol w:w="1755"/>
        <w:gridCol w:w="1755"/>
        <w:gridCol w:w="1755"/>
        <w:gridCol w:w="1535"/>
        <w:gridCol w:w="1977"/>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1280" w:hRule="atLeast"/>
        </w:trPr>
        <w:tc>
          <w:tcPr>
            <w:tcW w:w="175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D9D9D9"/>
            <w:tcMar>
              <w:left w:w="88" w:type="dxa"/>
            </w:tcMar>
          </w:tcPr>
          <w:p>
            <w:pPr>
              <w:numPr>
                <w:ilvl w:val="0"/>
                <w:numId w:val="0"/>
              </w:numPr>
              <w:bidi w:val="0"/>
              <w:ind w:left="0" w:right="0" w:firstLine="0"/>
              <w:jc w:val="left"/>
              <w:outlineLvl w:val="4"/>
              <w:rPr>
                <w:sz w:val="22"/>
              </w:rPr>
            </w:pPr>
            <w:r>
              <w:rPr>
                <w:sz w:val="22"/>
              </w:rPr>
              <w:t>Број заведених предмета у КТ уписник по лицима</w:t>
            </w:r>
          </w:p>
        </w:tc>
        <w:tc>
          <w:tcPr>
            <w:tcW w:w="175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D9D9D9"/>
            <w:tcMar>
              <w:left w:w="88" w:type="dxa"/>
            </w:tcMar>
          </w:tcPr>
          <w:p>
            <w:pPr>
              <w:numPr>
                <w:ilvl w:val="0"/>
                <w:numId w:val="0"/>
              </w:numPr>
              <w:bidi w:val="0"/>
              <w:ind w:left="0" w:right="0" w:firstLine="0"/>
              <w:jc w:val="left"/>
              <w:outlineLvl w:val="4"/>
              <w:rPr>
                <w:sz w:val="22"/>
              </w:rPr>
            </w:pPr>
            <w:r>
              <w:rPr>
                <w:sz w:val="22"/>
              </w:rPr>
              <w:t>Број подигнутих оптужних предлога и оптужница по лицима</w:t>
            </w:r>
          </w:p>
        </w:tc>
        <w:tc>
          <w:tcPr>
            <w:tcW w:w="175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D9D9D9"/>
            <w:tcMar>
              <w:left w:w="88" w:type="dxa"/>
            </w:tcMar>
          </w:tcPr>
          <w:p>
            <w:pPr>
              <w:numPr>
                <w:ilvl w:val="0"/>
                <w:numId w:val="0"/>
              </w:numPr>
              <w:bidi w:val="0"/>
              <w:ind w:left="0" w:right="0" w:firstLine="0"/>
              <w:jc w:val="left"/>
              <w:outlineLvl w:val="4"/>
              <w:rPr>
                <w:sz w:val="22"/>
              </w:rPr>
            </w:pPr>
            <w:r>
              <w:rPr>
                <w:sz w:val="22"/>
              </w:rPr>
              <w:t>Број донетих наредби о спровођењу истраге по лицима</w:t>
            </w:r>
          </w:p>
        </w:tc>
        <w:tc>
          <w:tcPr>
            <w:tcW w:w="153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D9D9D9"/>
            <w:tcMar>
              <w:left w:w="88" w:type="dxa"/>
            </w:tcMar>
          </w:tcPr>
          <w:p>
            <w:pPr>
              <w:numPr>
                <w:ilvl w:val="0"/>
                <w:numId w:val="0"/>
              </w:numPr>
              <w:bidi w:val="0"/>
              <w:ind w:left="0" w:right="0" w:firstLine="0"/>
              <w:jc w:val="left"/>
              <w:outlineLvl w:val="4"/>
              <w:rPr>
                <w:sz w:val="22"/>
              </w:rPr>
            </w:pPr>
            <w:r>
              <w:rPr>
                <w:sz w:val="22"/>
              </w:rPr>
              <w:t>Број споразума о признању кривичног дела</w:t>
            </w:r>
          </w:p>
        </w:tc>
        <w:tc>
          <w:tcPr>
            <w:tcW w:w="1977"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D9D9D9"/>
            <w:tcMar>
              <w:left w:w="88" w:type="dxa"/>
            </w:tcMar>
          </w:tcPr>
          <w:p>
            <w:pPr>
              <w:numPr>
                <w:ilvl w:val="0"/>
                <w:numId w:val="0"/>
              </w:numPr>
              <w:bidi w:val="0"/>
              <w:ind w:left="0" w:right="0" w:firstLine="0"/>
              <w:jc w:val="left"/>
              <w:outlineLvl w:val="4"/>
              <w:rPr>
                <w:sz w:val="22"/>
              </w:rPr>
            </w:pPr>
            <w:r>
              <w:rPr>
                <w:sz w:val="22"/>
              </w:rPr>
              <w:t>Број лица према којима је примењен институт  одлагања кривичног гоњења</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425" w:hRule="atLeast"/>
        </w:trPr>
        <w:tc>
          <w:tcPr>
            <w:tcW w:w="175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rFonts w:hint="default"/>
                <w:lang w:val="sr-Cyrl-RS"/>
              </w:rPr>
            </w:pPr>
            <w:r>
              <w:rPr>
                <w:rFonts w:hint="default"/>
                <w:lang w:val="sr-Cyrl-RS"/>
              </w:rPr>
              <w:t>498</w:t>
            </w:r>
          </w:p>
        </w:tc>
        <w:tc>
          <w:tcPr>
            <w:tcW w:w="175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rFonts w:hint="default"/>
                <w:lang w:val="sr-Cyrl-RS"/>
              </w:rPr>
            </w:pPr>
            <w:r>
              <w:rPr>
                <w:rFonts w:hint="default"/>
                <w:lang w:val="sr-Cyrl-RS"/>
              </w:rPr>
              <w:t>137</w:t>
            </w:r>
          </w:p>
        </w:tc>
        <w:tc>
          <w:tcPr>
            <w:tcW w:w="175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rFonts w:hint="default"/>
                <w:lang w:val="sr-Cyrl-RS"/>
              </w:rPr>
            </w:pPr>
            <w:r>
              <w:rPr>
                <w:rFonts w:hint="default"/>
                <w:lang w:val="sr-Cyrl-RS"/>
              </w:rPr>
              <w:t>1</w:t>
            </w:r>
          </w:p>
        </w:tc>
        <w:tc>
          <w:tcPr>
            <w:tcW w:w="1535"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rFonts w:hint="default" w:ascii="Times New Roman" w:hAnsi="Times New Roman" w:eastAsiaTheme="minorEastAsia" w:cstheme="minorBidi"/>
                <w:color w:val="00000A"/>
                <w:position w:val="0"/>
                <w:sz w:val="24"/>
                <w:u w:val="none"/>
                <w:vertAlign w:val="baseline"/>
                <w:lang w:val="sr-Cyrl-RS"/>
              </w:rPr>
            </w:pPr>
            <w:r>
              <w:rPr>
                <w:rFonts w:hint="default" w:eastAsiaTheme="minorEastAsia" w:cstheme="minorBidi"/>
                <w:color w:val="000000"/>
                <w:position w:val="0"/>
                <w:sz w:val="24"/>
                <w:u w:val="none"/>
                <w:shd w:val="clear" w:fill="FFFFFF"/>
                <w:vertAlign w:val="baseline"/>
                <w:lang w:val="en-US"/>
              </w:rPr>
              <w:t>8</w:t>
            </w:r>
          </w:p>
        </w:tc>
        <w:tc>
          <w:tcPr>
            <w:tcW w:w="1977"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rFonts w:hint="default"/>
                <w:lang w:val="sr-Cyrl-RS"/>
              </w:rPr>
            </w:pPr>
            <w:r>
              <w:rPr>
                <w:rFonts w:hint="default" w:eastAsiaTheme="minorEastAsia" w:cstheme="minorBidi"/>
                <w:color w:val="000000"/>
                <w:position w:val="0"/>
                <w:sz w:val="24"/>
                <w:u w:val="none"/>
                <w:shd w:val="clear" w:fill="FFFFFF"/>
                <w:vertAlign w:val="baseline"/>
                <w:lang w:val="sr-Cyrl-RS"/>
              </w:rPr>
              <w:t>65</w:t>
            </w:r>
          </w:p>
        </w:tc>
      </w:tr>
    </w:tbl>
    <w:p>
      <w:pPr>
        <w:numPr>
          <w:ilvl w:val="0"/>
          <w:numId w:val="0"/>
        </w:numPr>
        <w:bidi w:val="0"/>
        <w:ind w:left="0" w:right="0" w:firstLine="0"/>
        <w:jc w:val="both"/>
        <w:outlineLvl w:val="4"/>
        <w:rPr>
          <w:b/>
          <w:sz w:val="24"/>
        </w:rPr>
      </w:pPr>
    </w:p>
    <w:p>
      <w:pPr>
        <w:numPr>
          <w:ilvl w:val="0"/>
          <w:numId w:val="0"/>
        </w:numPr>
        <w:bidi w:val="0"/>
        <w:ind w:left="0" w:right="0" w:firstLine="0"/>
        <w:jc w:val="both"/>
        <w:outlineLvl w:val="4"/>
      </w:pPr>
      <w:r>
        <w:rPr>
          <w:b/>
          <w:sz w:val="24"/>
        </w:rPr>
        <w:t>Поступање по захтевима за приступ информацијама од јавног значаја у 202</w:t>
      </w:r>
      <w:r>
        <w:rPr>
          <w:rFonts w:hint="default"/>
          <w:b/>
          <w:sz w:val="24"/>
          <w:lang w:val="sr-Cyrl-RS"/>
        </w:rPr>
        <w:t>2</w:t>
      </w:r>
      <w:r>
        <w:rPr>
          <w:b/>
          <w:sz w:val="24"/>
        </w:rPr>
        <w:t>. години:</w:t>
      </w:r>
    </w:p>
    <w:p>
      <w:pPr>
        <w:numPr>
          <w:ilvl w:val="0"/>
          <w:numId w:val="0"/>
        </w:numPr>
        <w:bidi w:val="0"/>
        <w:ind w:left="0" w:right="0" w:firstLine="0"/>
        <w:jc w:val="both"/>
        <w:outlineLvl w:val="4"/>
        <w:rPr>
          <w:b/>
          <w:sz w:val="24"/>
        </w:rPr>
      </w:pPr>
    </w:p>
    <w:tbl>
      <w:tblPr>
        <w:tblStyle w:val="11"/>
        <w:tblW w:w="8856" w:type="dxa"/>
        <w:tblInd w:w="-15"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autofit"/>
        <w:tblCellMar>
          <w:top w:w="0" w:type="dxa"/>
          <w:left w:w="88" w:type="dxa"/>
          <w:bottom w:w="0" w:type="dxa"/>
          <w:right w:w="108" w:type="dxa"/>
        </w:tblCellMar>
      </w:tblPr>
      <w:tblGrid>
        <w:gridCol w:w="1521"/>
        <w:gridCol w:w="1470"/>
        <w:gridCol w:w="1472"/>
        <w:gridCol w:w="1465"/>
        <w:gridCol w:w="1464"/>
        <w:gridCol w:w="1464"/>
      </w:tblGrid>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559" w:hRule="atLeast"/>
        </w:trPr>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D9D9D9"/>
            <w:tcMar>
              <w:left w:w="88" w:type="dxa"/>
            </w:tcMar>
          </w:tcPr>
          <w:p>
            <w:pPr>
              <w:numPr>
                <w:ilvl w:val="0"/>
                <w:numId w:val="0"/>
              </w:numPr>
              <w:bidi w:val="0"/>
              <w:ind w:left="0" w:right="0" w:firstLine="0"/>
              <w:jc w:val="center"/>
              <w:outlineLvl w:val="4"/>
              <w:rPr>
                <w:b/>
                <w:sz w:val="24"/>
              </w:rPr>
            </w:pPr>
            <w:r>
              <w:rPr>
                <w:b/>
                <w:sz w:val="24"/>
              </w:rPr>
              <w:t>Подносилац</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D9D9D9"/>
            <w:tcMar>
              <w:left w:w="88" w:type="dxa"/>
            </w:tcMar>
          </w:tcPr>
          <w:p>
            <w:pPr>
              <w:numPr>
                <w:ilvl w:val="0"/>
                <w:numId w:val="0"/>
              </w:numPr>
              <w:bidi w:val="0"/>
              <w:ind w:left="0" w:right="0" w:firstLine="0"/>
              <w:jc w:val="center"/>
              <w:outlineLvl w:val="4"/>
              <w:rPr>
                <w:b/>
                <w:sz w:val="24"/>
              </w:rPr>
            </w:pPr>
            <w:r>
              <w:rPr>
                <w:b/>
                <w:sz w:val="24"/>
              </w:rPr>
              <w:t>Број захтева</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D9D9D9"/>
            <w:tcMar>
              <w:left w:w="88" w:type="dxa"/>
            </w:tcMar>
          </w:tcPr>
          <w:p>
            <w:pPr>
              <w:numPr>
                <w:ilvl w:val="0"/>
                <w:numId w:val="0"/>
              </w:numPr>
              <w:bidi w:val="0"/>
              <w:ind w:left="0" w:right="0" w:firstLine="0"/>
              <w:jc w:val="center"/>
              <w:outlineLvl w:val="4"/>
              <w:rPr>
                <w:b/>
                <w:sz w:val="24"/>
              </w:rPr>
            </w:pPr>
            <w:r>
              <w:rPr>
                <w:b/>
                <w:sz w:val="24"/>
              </w:rPr>
              <w:t>Одбачен</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D9D9D9"/>
            <w:tcMar>
              <w:left w:w="88" w:type="dxa"/>
            </w:tcMar>
          </w:tcPr>
          <w:p>
            <w:pPr>
              <w:numPr>
                <w:ilvl w:val="0"/>
                <w:numId w:val="0"/>
              </w:numPr>
              <w:bidi w:val="0"/>
              <w:ind w:left="0" w:right="0" w:firstLine="0"/>
              <w:jc w:val="center"/>
              <w:outlineLvl w:val="4"/>
              <w:rPr>
                <w:b/>
                <w:sz w:val="24"/>
              </w:rPr>
            </w:pPr>
            <w:r>
              <w:rPr>
                <w:b/>
                <w:sz w:val="24"/>
              </w:rPr>
              <w:t xml:space="preserve">Усвојен </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D9D9D9"/>
            <w:tcMar>
              <w:left w:w="88" w:type="dxa"/>
            </w:tcMar>
          </w:tcPr>
          <w:p>
            <w:pPr>
              <w:numPr>
                <w:ilvl w:val="0"/>
                <w:numId w:val="0"/>
              </w:numPr>
              <w:bidi w:val="0"/>
              <w:ind w:left="0" w:right="0" w:firstLine="0"/>
              <w:jc w:val="center"/>
              <w:outlineLvl w:val="4"/>
              <w:rPr>
                <w:b/>
                <w:sz w:val="24"/>
              </w:rPr>
            </w:pPr>
            <w:r>
              <w:rPr>
                <w:b/>
                <w:sz w:val="24"/>
              </w:rPr>
              <w:t xml:space="preserve">Одбијен </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D9D9D9"/>
            <w:tcMar>
              <w:left w:w="88" w:type="dxa"/>
            </w:tcMar>
          </w:tcPr>
          <w:p>
            <w:pPr>
              <w:numPr>
                <w:ilvl w:val="0"/>
                <w:numId w:val="0"/>
              </w:numPr>
              <w:bidi w:val="0"/>
              <w:ind w:left="0" w:right="0" w:firstLine="0"/>
              <w:jc w:val="center"/>
              <w:outlineLvl w:val="4"/>
              <w:rPr>
                <w:b/>
                <w:sz w:val="24"/>
              </w:rPr>
            </w:pPr>
            <w:r>
              <w:rPr>
                <w:b/>
                <w:sz w:val="24"/>
              </w:rPr>
              <w:t xml:space="preserve">Жалба </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284" w:hRule="atLeast"/>
        </w:trPr>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sz w:val="24"/>
              </w:rPr>
            </w:pPr>
            <w:r>
              <w:rPr>
                <w:sz w:val="24"/>
              </w:rPr>
              <w:t xml:space="preserve">Грађани </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rFonts w:hint="default" w:ascii="Times New Roman" w:hAnsi="Times New Roman" w:eastAsiaTheme="minorEastAsia" w:cstheme="minorBidi"/>
                <w:color w:val="00000A"/>
                <w:position w:val="0"/>
                <w:sz w:val="24"/>
                <w:u w:val="none"/>
                <w:vertAlign w:val="baseline"/>
                <w:lang w:val="sr-Cyrl-RS"/>
              </w:rPr>
            </w:pPr>
            <w:r>
              <w:rPr>
                <w:rFonts w:hint="default" w:eastAsiaTheme="minorEastAsia" w:cstheme="minorBidi"/>
                <w:color w:val="000000"/>
                <w:position w:val="0"/>
                <w:sz w:val="24"/>
                <w:u w:val="none"/>
                <w:shd w:val="clear" w:fill="FFFFFF"/>
                <w:vertAlign w:val="baseline"/>
                <w:lang w:val="sr-Cyrl-RS"/>
              </w:rPr>
              <w:t>11</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sz w:val="24"/>
              </w:rPr>
            </w:pPr>
            <w:r>
              <w:rPr>
                <w:sz w:val="24"/>
              </w:rPr>
              <w:t>0</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rFonts w:hint="default"/>
                <w:lang w:val="sr-Cyrl-RS"/>
              </w:rPr>
            </w:pPr>
            <w:r>
              <w:rPr>
                <w:rFonts w:hint="default"/>
                <w:lang w:val="sr-Cyrl-RS"/>
              </w:rPr>
              <w:t>11</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sz w:val="24"/>
                <w:lang w:val="zh-CN"/>
              </w:rPr>
            </w:pPr>
            <w:r>
              <w:rPr>
                <w:sz w:val="24"/>
                <w:lang w:val="zh-CN"/>
              </w:rPr>
              <w:t>0</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sz w:val="24"/>
                <w:lang w:val="zh-CN"/>
              </w:rPr>
            </w:pPr>
            <w:r>
              <w:rPr>
                <w:sz w:val="24"/>
                <w:lang w:val="zh-CN"/>
              </w:rPr>
              <w:t>0</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284" w:hRule="atLeast"/>
        </w:trPr>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sz w:val="24"/>
              </w:rPr>
            </w:pPr>
            <w:r>
              <w:rPr>
                <w:sz w:val="24"/>
              </w:rPr>
              <w:t>Медији</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rFonts w:hint="default"/>
                <w:sz w:val="24"/>
                <w:lang w:val="sr-Cyrl-RS"/>
              </w:rPr>
            </w:pPr>
            <w:r>
              <w:rPr>
                <w:rFonts w:hint="default"/>
                <w:sz w:val="24"/>
                <w:lang w:val="sr-Cyrl-RS"/>
              </w:rPr>
              <w:t>2</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sz w:val="24"/>
              </w:rPr>
            </w:pPr>
            <w:r>
              <w:rPr>
                <w:sz w:val="24"/>
              </w:rPr>
              <w:t>0</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rFonts w:hint="default"/>
                <w:sz w:val="24"/>
                <w:lang w:val="sr-Cyrl-RS"/>
              </w:rPr>
            </w:pPr>
            <w:r>
              <w:rPr>
                <w:rFonts w:hint="default"/>
                <w:sz w:val="24"/>
                <w:lang w:val="sr-Cyrl-RS"/>
              </w:rPr>
              <w:t>2</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sz w:val="24"/>
              </w:rPr>
            </w:pPr>
            <w:r>
              <w:rPr>
                <w:sz w:val="24"/>
              </w:rPr>
              <w:t>0</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sz w:val="24"/>
              </w:rPr>
            </w:pPr>
            <w:r>
              <w:rPr>
                <w:sz w:val="24"/>
              </w:rPr>
              <w:t>0</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559" w:hRule="atLeast"/>
        </w:trPr>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sz w:val="24"/>
              </w:rPr>
            </w:pPr>
            <w:r>
              <w:rPr>
                <w:sz w:val="24"/>
              </w:rPr>
              <w:t>Удружење грађана</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pPr>
            <w:r>
              <w:rPr>
                <w:sz w:val="24"/>
                <w:lang w:val="zh-CN"/>
              </w:rPr>
              <w:t>/</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sz w:val="24"/>
              </w:rPr>
            </w:pPr>
            <w:r>
              <w:rPr>
                <w:sz w:val="24"/>
              </w:rPr>
              <w:t>0</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pPr>
            <w:r>
              <w:rPr>
                <w:sz w:val="24"/>
                <w:lang w:val="zh-CN"/>
              </w:rPr>
              <w:t>/</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sz w:val="24"/>
              </w:rPr>
            </w:pPr>
            <w:r>
              <w:rPr>
                <w:sz w:val="24"/>
              </w:rPr>
              <w:t>0</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spacing w:before="120" w:after="0"/>
              <w:ind w:left="0" w:right="0" w:firstLine="0"/>
              <w:jc w:val="center"/>
              <w:outlineLvl w:val="4"/>
              <w:rPr>
                <w:sz w:val="24"/>
              </w:rPr>
            </w:pPr>
            <w:r>
              <w:rPr>
                <w:sz w:val="24"/>
              </w:rPr>
              <w:t>0</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284" w:hRule="atLeast"/>
        </w:trPr>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sz w:val="24"/>
              </w:rPr>
            </w:pPr>
            <w:r>
              <w:rPr>
                <w:sz w:val="24"/>
              </w:rPr>
              <w:t xml:space="preserve">Остали </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rFonts w:hint="default"/>
                <w:lang w:val="sr-Cyrl-RS"/>
              </w:rPr>
            </w:pPr>
            <w:r>
              <w:rPr>
                <w:rFonts w:hint="default" w:eastAsiaTheme="minorEastAsia" w:cstheme="minorBidi"/>
                <w:color w:val="000000"/>
                <w:position w:val="0"/>
                <w:sz w:val="24"/>
                <w:u w:val="none"/>
                <w:shd w:val="clear" w:fill="FFFFFF"/>
                <w:vertAlign w:val="baseline"/>
                <w:lang w:val="sr-Cyrl-RS"/>
              </w:rPr>
              <w:t>12</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sz w:val="24"/>
              </w:rPr>
            </w:pPr>
            <w:r>
              <w:rPr>
                <w:sz w:val="24"/>
              </w:rPr>
              <w:t>0</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rFonts w:hint="default"/>
                <w:lang w:val="sr-Cyrl-RS"/>
              </w:rPr>
            </w:pPr>
            <w:r>
              <w:rPr>
                <w:rFonts w:hint="default" w:eastAsiaTheme="minorEastAsia" w:cstheme="minorBidi"/>
                <w:color w:val="000000"/>
                <w:position w:val="0"/>
                <w:sz w:val="24"/>
                <w:u w:val="none"/>
                <w:shd w:val="clear" w:fill="FFFFFF"/>
                <w:vertAlign w:val="baseline"/>
                <w:lang w:val="sr-Cyrl-RS"/>
              </w:rPr>
              <w:t>12</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sz w:val="24"/>
              </w:rPr>
            </w:pPr>
            <w:r>
              <w:rPr>
                <w:sz w:val="24"/>
              </w:rPr>
              <w:t>0</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sz w:val="24"/>
              </w:rPr>
            </w:pPr>
            <w:r>
              <w:rPr>
                <w:sz w:val="24"/>
              </w:rPr>
              <w:t>0</w:t>
            </w:r>
          </w:p>
        </w:tc>
      </w:tr>
      <w:tr>
        <w:tblPrEx>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top w:w="0" w:type="dxa"/>
            <w:left w:w="88" w:type="dxa"/>
            <w:bottom w:w="0" w:type="dxa"/>
            <w:right w:w="108" w:type="dxa"/>
          </w:tblCellMar>
        </w:tblPrEx>
        <w:trPr>
          <w:trHeight w:val="294" w:hRule="atLeast"/>
        </w:trPr>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b/>
                <w:sz w:val="24"/>
              </w:rPr>
            </w:pPr>
            <w:r>
              <w:rPr>
                <w:b/>
                <w:sz w:val="24"/>
              </w:rPr>
              <w:t xml:space="preserve">Укупно: </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rFonts w:hint="default"/>
                <w:lang w:val="sr-Cyrl-RS"/>
              </w:rPr>
            </w:pPr>
            <w:r>
              <w:rPr>
                <w:rFonts w:eastAsiaTheme="minorEastAsia" w:cstheme="minorBidi"/>
                <w:color w:val="000000"/>
                <w:position w:val="0"/>
                <w:sz w:val="24"/>
                <w:u w:val="none"/>
                <w:shd w:val="clear" w:fill="FFFFFF"/>
                <w:vertAlign w:val="baseline"/>
                <w:lang w:val="zh-CN"/>
              </w:rPr>
              <w:t>2</w:t>
            </w:r>
            <w:r>
              <w:rPr>
                <w:rFonts w:hint="default" w:eastAsiaTheme="minorEastAsia" w:cstheme="minorBidi"/>
                <w:color w:val="000000"/>
                <w:position w:val="0"/>
                <w:sz w:val="24"/>
                <w:u w:val="none"/>
                <w:shd w:val="clear" w:fill="FFFFFF"/>
                <w:vertAlign w:val="baseline"/>
                <w:lang w:val="sr-Cyrl-RS"/>
              </w:rPr>
              <w:t>5</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sz w:val="24"/>
              </w:rPr>
            </w:pPr>
            <w:r>
              <w:rPr>
                <w:sz w:val="24"/>
              </w:rPr>
              <w:t>0</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rFonts w:hint="default"/>
                <w:lang w:val="sr-Cyrl-RS"/>
              </w:rPr>
            </w:pPr>
            <w:r>
              <w:rPr>
                <w:rFonts w:eastAsiaTheme="minorEastAsia" w:cstheme="minorBidi"/>
                <w:color w:val="000000"/>
                <w:position w:val="0"/>
                <w:sz w:val="24"/>
                <w:u w:val="none"/>
                <w:shd w:val="clear" w:fill="FFFFFF"/>
                <w:vertAlign w:val="baseline"/>
                <w:lang w:val="zh-CN"/>
              </w:rPr>
              <w:t>2</w:t>
            </w:r>
            <w:r>
              <w:rPr>
                <w:rFonts w:hint="default" w:eastAsiaTheme="minorEastAsia" w:cstheme="minorBidi"/>
                <w:color w:val="000000"/>
                <w:position w:val="0"/>
                <w:sz w:val="24"/>
                <w:u w:val="none"/>
                <w:shd w:val="clear" w:fill="FFFFFF"/>
                <w:vertAlign w:val="baseline"/>
                <w:lang w:val="sr-Cyrl-RS"/>
              </w:rPr>
              <w:t>5</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lang w:val="zh-CN"/>
              </w:rPr>
            </w:pPr>
            <w:r>
              <w:rPr>
                <w:lang w:val="zh-CN"/>
              </w:rPr>
              <w:t>0</w:t>
            </w:r>
          </w:p>
        </w:tc>
        <w:tc>
          <w:tcPr>
            <w:tcW w:w="1476" w:type="dxa"/>
            <w:tcBorders>
              <w:top w:val="single" w:color="000001" w:sz="4" w:space="0"/>
              <w:left w:val="single" w:color="000001" w:sz="4" w:space="0"/>
              <w:bottom w:val="single" w:color="000001" w:sz="4" w:space="0"/>
              <w:right w:val="single" w:color="000001" w:sz="4" w:space="0"/>
              <w:insideH w:val="single" w:sz="4" w:space="0"/>
              <w:insideV w:val="single" w:sz="4" w:space="0"/>
            </w:tcBorders>
            <w:shd w:val="clear" w:color="auto" w:fill="auto"/>
            <w:tcMar>
              <w:left w:w="88" w:type="dxa"/>
            </w:tcMar>
          </w:tcPr>
          <w:p>
            <w:pPr>
              <w:numPr>
                <w:ilvl w:val="0"/>
                <w:numId w:val="0"/>
              </w:numPr>
              <w:bidi w:val="0"/>
              <w:ind w:left="0" w:right="0" w:firstLine="0"/>
              <w:jc w:val="center"/>
              <w:outlineLvl w:val="4"/>
              <w:rPr>
                <w:lang w:val="zh-CN"/>
              </w:rPr>
            </w:pPr>
            <w:r>
              <w:rPr>
                <w:lang w:val="zh-CN"/>
              </w:rPr>
              <w:t>0</w:t>
            </w:r>
          </w:p>
        </w:tc>
      </w:tr>
    </w:tbl>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center"/>
        <w:outlineLvl w:val="0"/>
        <w:rPr>
          <w:b/>
          <w:sz w:val="24"/>
        </w:rPr>
      </w:pPr>
      <w:r>
        <w:rPr>
          <w:b/>
          <w:sz w:val="24"/>
        </w:rPr>
        <w:t>XII  -  ПОДАЦИ О ПРИХОДИМА И РАСХОДИМА</w:t>
      </w:r>
    </w:p>
    <w:p>
      <w:pPr>
        <w:bidi w:val="0"/>
        <w:jc w:val="both"/>
        <w:rPr>
          <w:sz w:val="24"/>
        </w:rPr>
      </w:pPr>
    </w:p>
    <w:p>
      <w:pPr>
        <w:jc w:val="both"/>
        <w:rPr>
          <w:lang w:val="sr-Latn-RS"/>
        </w:rPr>
      </w:pPr>
    </w:p>
    <w:p>
      <w:pPr>
        <w:jc w:val="both"/>
      </w:pPr>
      <w:r>
        <w:rPr>
          <w:lang w:val="sr-Latn-RS"/>
        </w:rPr>
        <w:tab/>
      </w:r>
      <w:r>
        <w:rPr>
          <w:lang w:val="sr-Latn-RS"/>
        </w:rPr>
        <w:t>Приложена табела садржи податке о приходима и расходима Основног јавног тужилаштва у Куршумлији за 2022 годину од извора финасирања Државног већа тужилаца (пројекат 0013) и Министарства правде РС (пројекат 0014).</w:t>
      </w:r>
    </w:p>
    <w:p>
      <w:pPr>
        <w:jc w:val="both"/>
        <w:rPr>
          <w:lang w:val="sr-Latn-RS"/>
        </w:rPr>
      </w:pPr>
    </w:p>
    <w:p>
      <w:pPr>
        <w:jc w:val="both"/>
        <w:rPr>
          <w:lang w:val="sr-Latn-RS"/>
        </w:rPr>
      </w:pPr>
    </w:p>
    <w:tbl>
      <w:tblPr>
        <w:tblStyle w:val="3"/>
        <w:tblW w:w="8717" w:type="dxa"/>
        <w:tblInd w:w="73" w:type="dxa"/>
        <w:tblLayout w:type="fixed"/>
        <w:tblCellMar>
          <w:top w:w="0" w:type="dxa"/>
          <w:left w:w="108" w:type="dxa"/>
          <w:bottom w:w="0" w:type="dxa"/>
          <w:right w:w="108" w:type="dxa"/>
        </w:tblCellMar>
      </w:tblPr>
      <w:tblGrid>
        <w:gridCol w:w="651"/>
        <w:gridCol w:w="664"/>
        <w:gridCol w:w="867"/>
        <w:gridCol w:w="683"/>
        <w:gridCol w:w="778"/>
        <w:gridCol w:w="1887"/>
        <w:gridCol w:w="1856"/>
        <w:gridCol w:w="1331"/>
      </w:tblGrid>
      <w:tr>
        <w:tblPrEx>
          <w:tblCellMar>
            <w:top w:w="0" w:type="dxa"/>
            <w:left w:w="108" w:type="dxa"/>
            <w:bottom w:w="0" w:type="dxa"/>
            <w:right w:w="108" w:type="dxa"/>
          </w:tblCellMar>
        </w:tblPrEx>
        <w:trPr>
          <w:trHeight w:val="703" w:hRule="atLeast"/>
        </w:trPr>
        <w:tc>
          <w:tcPr>
            <w:tcW w:w="651" w:type="dxa"/>
            <w:tcBorders>
              <w:top w:val="single" w:color="000000" w:sz="8" w:space="0"/>
              <w:left w:val="single" w:color="000000" w:sz="8" w:space="0"/>
              <w:bottom w:val="single" w:color="000000" w:sz="4" w:space="0"/>
            </w:tcBorders>
            <w:shd w:val="clear" w:color="auto" w:fill="auto"/>
            <w:noWrap w:val="0"/>
            <w:vAlign w:val="bottom"/>
          </w:tcPr>
          <w:p>
            <w:pPr>
              <w:jc w:val="center"/>
            </w:pPr>
            <w:r>
              <w:rPr>
                <w:b/>
                <w:bCs/>
                <w:sz w:val="20"/>
                <w:szCs w:val="20"/>
              </w:rPr>
              <w:t>Функ</w:t>
            </w:r>
          </w:p>
        </w:tc>
        <w:tc>
          <w:tcPr>
            <w:tcW w:w="664" w:type="dxa"/>
            <w:tcBorders>
              <w:top w:val="single" w:color="000000" w:sz="8" w:space="0"/>
              <w:left w:val="single" w:color="000000" w:sz="4" w:space="0"/>
              <w:bottom w:val="single" w:color="000000" w:sz="4" w:space="0"/>
            </w:tcBorders>
            <w:shd w:val="clear" w:color="auto" w:fill="auto"/>
            <w:noWrap w:val="0"/>
            <w:vAlign w:val="bottom"/>
          </w:tcPr>
          <w:p>
            <w:pPr>
              <w:jc w:val="center"/>
            </w:pPr>
            <w:r>
              <w:rPr>
                <w:sz w:val="20"/>
                <w:szCs w:val="20"/>
              </w:rPr>
              <w:t>Извор</w:t>
            </w:r>
          </w:p>
        </w:tc>
        <w:tc>
          <w:tcPr>
            <w:tcW w:w="867" w:type="dxa"/>
            <w:tcBorders>
              <w:top w:val="single" w:color="000000" w:sz="8" w:space="0"/>
              <w:left w:val="single" w:color="000000" w:sz="4" w:space="0"/>
              <w:bottom w:val="single" w:color="000000" w:sz="4" w:space="0"/>
            </w:tcBorders>
            <w:shd w:val="clear" w:color="auto" w:fill="auto"/>
            <w:noWrap w:val="0"/>
            <w:vAlign w:val="bottom"/>
          </w:tcPr>
          <w:p>
            <w:pPr>
              <w:jc w:val="center"/>
            </w:pPr>
            <w:r>
              <w:rPr>
                <w:sz w:val="20"/>
                <w:szCs w:val="20"/>
              </w:rPr>
              <w:t>Програм</w:t>
            </w:r>
          </w:p>
        </w:tc>
        <w:tc>
          <w:tcPr>
            <w:tcW w:w="683" w:type="dxa"/>
            <w:tcBorders>
              <w:top w:val="single" w:color="000000" w:sz="8" w:space="0"/>
              <w:left w:val="single" w:color="000000" w:sz="4" w:space="0"/>
              <w:bottom w:val="single" w:color="000000" w:sz="4" w:space="0"/>
            </w:tcBorders>
            <w:shd w:val="clear" w:color="auto" w:fill="auto"/>
            <w:noWrap w:val="0"/>
            <w:vAlign w:val="bottom"/>
          </w:tcPr>
          <w:p>
            <w:pPr>
              <w:jc w:val="center"/>
            </w:pPr>
            <w:r>
              <w:rPr>
                <w:sz w:val="20"/>
                <w:szCs w:val="20"/>
              </w:rPr>
              <w:t>Проје.</w:t>
            </w:r>
          </w:p>
        </w:tc>
        <w:tc>
          <w:tcPr>
            <w:tcW w:w="778" w:type="dxa"/>
            <w:tcBorders>
              <w:top w:val="single" w:color="000000" w:sz="8" w:space="0"/>
              <w:left w:val="single" w:color="000000" w:sz="4" w:space="0"/>
              <w:bottom w:val="single" w:color="000000" w:sz="4" w:space="0"/>
            </w:tcBorders>
            <w:shd w:val="clear" w:color="auto" w:fill="auto"/>
            <w:noWrap w:val="0"/>
            <w:vAlign w:val="bottom"/>
          </w:tcPr>
          <w:p>
            <w:pPr>
              <w:jc w:val="center"/>
            </w:pPr>
            <w:r>
              <w:rPr>
                <w:sz w:val="20"/>
                <w:szCs w:val="20"/>
              </w:rPr>
              <w:t>Ек.клас</w:t>
            </w:r>
          </w:p>
        </w:tc>
        <w:tc>
          <w:tcPr>
            <w:tcW w:w="1887" w:type="dxa"/>
            <w:tcBorders>
              <w:top w:val="single" w:color="000000" w:sz="8" w:space="0"/>
              <w:left w:val="single" w:color="000000" w:sz="4" w:space="0"/>
              <w:bottom w:val="single" w:color="000000" w:sz="4" w:space="0"/>
            </w:tcBorders>
            <w:shd w:val="clear" w:color="auto" w:fill="auto"/>
            <w:noWrap w:val="0"/>
            <w:vAlign w:val="bottom"/>
          </w:tcPr>
          <w:p>
            <w:pPr>
              <w:jc w:val="center"/>
            </w:pPr>
            <w:r>
              <w:rPr>
                <w:sz w:val="20"/>
                <w:szCs w:val="20"/>
              </w:rPr>
              <w:t>Опис конта</w:t>
            </w:r>
          </w:p>
        </w:tc>
        <w:tc>
          <w:tcPr>
            <w:tcW w:w="1856" w:type="dxa"/>
            <w:tcBorders>
              <w:top w:val="single" w:color="000000" w:sz="8" w:space="0"/>
              <w:left w:val="single" w:color="000000" w:sz="4" w:space="0"/>
              <w:bottom w:val="single" w:color="000000" w:sz="4" w:space="0"/>
            </w:tcBorders>
            <w:shd w:val="clear" w:color="auto" w:fill="auto"/>
            <w:noWrap w:val="0"/>
            <w:vAlign w:val="center"/>
          </w:tcPr>
          <w:p>
            <w:pPr>
              <w:jc w:val="both"/>
            </w:pPr>
            <w:r>
              <w:rPr>
                <w:sz w:val="16"/>
                <w:szCs w:val="16"/>
              </w:rPr>
              <w:t>Сред.одобрена за 20</w:t>
            </w:r>
            <w:r>
              <w:rPr>
                <w:sz w:val="16"/>
                <w:szCs w:val="16"/>
                <w:lang w:val="en-GB"/>
              </w:rPr>
              <w:t>2</w:t>
            </w:r>
            <w:r>
              <w:rPr>
                <w:sz w:val="16"/>
                <w:szCs w:val="16"/>
                <w:lang w:val="sr-Latn-RS"/>
              </w:rPr>
              <w:t>2</w:t>
            </w:r>
            <w:r>
              <w:rPr>
                <w:sz w:val="16"/>
                <w:szCs w:val="16"/>
              </w:rPr>
              <w:t>.год Законм о буџету</w:t>
            </w:r>
          </w:p>
        </w:tc>
        <w:tc>
          <w:tcPr>
            <w:tcW w:w="1331" w:type="dxa"/>
            <w:tcBorders>
              <w:top w:val="single" w:color="000000" w:sz="8" w:space="0"/>
              <w:left w:val="single" w:color="000000" w:sz="4" w:space="0"/>
              <w:bottom w:val="single" w:color="000000" w:sz="4" w:space="0"/>
              <w:right w:val="single" w:color="000000" w:sz="4" w:space="0"/>
            </w:tcBorders>
            <w:shd w:val="clear" w:color="auto" w:fill="auto"/>
            <w:noWrap w:val="0"/>
            <w:vAlign w:val="center"/>
          </w:tcPr>
          <w:p>
            <w:pPr>
              <w:jc w:val="both"/>
            </w:pPr>
            <w:r>
              <w:rPr>
                <w:sz w:val="16"/>
                <w:szCs w:val="16"/>
              </w:rPr>
              <w:t>Реализација до 3</w:t>
            </w:r>
            <w:r>
              <w:rPr>
                <w:sz w:val="16"/>
                <w:szCs w:val="16"/>
                <w:lang w:val="en-GB"/>
              </w:rPr>
              <w:t>1.</w:t>
            </w:r>
            <w:r>
              <w:rPr>
                <w:sz w:val="16"/>
                <w:szCs w:val="16"/>
              </w:rPr>
              <w:t>12</w:t>
            </w:r>
            <w:r>
              <w:rPr>
                <w:sz w:val="16"/>
                <w:szCs w:val="16"/>
                <w:lang w:val="en-GB"/>
              </w:rPr>
              <w:t>.</w:t>
            </w:r>
            <w:r>
              <w:rPr>
                <w:sz w:val="16"/>
                <w:szCs w:val="16"/>
              </w:rPr>
              <w:t>20</w:t>
            </w:r>
            <w:r>
              <w:rPr>
                <w:sz w:val="16"/>
                <w:szCs w:val="16"/>
                <w:lang w:val="en-GB"/>
              </w:rPr>
              <w:t>2</w:t>
            </w:r>
            <w:r>
              <w:rPr>
                <w:sz w:val="16"/>
                <w:szCs w:val="16"/>
                <w:lang w:val="sr-Latn-RS"/>
              </w:rPr>
              <w:t>2</w:t>
            </w:r>
          </w:p>
        </w:tc>
      </w:tr>
      <w:tr>
        <w:tblPrEx>
          <w:tblCellMar>
            <w:top w:w="0" w:type="dxa"/>
            <w:left w:w="108" w:type="dxa"/>
            <w:bottom w:w="0" w:type="dxa"/>
            <w:right w:w="108" w:type="dxa"/>
          </w:tblCellMar>
        </w:tblPrEx>
        <w:trPr>
          <w:trHeight w:val="614" w:hRule="atLeast"/>
        </w:trPr>
        <w:tc>
          <w:tcPr>
            <w:tcW w:w="651" w:type="dxa"/>
            <w:tcBorders>
              <w:left w:val="single" w:color="000000" w:sz="8" w:space="0"/>
              <w:bottom w:val="single" w:color="000000" w:sz="4" w:space="0"/>
            </w:tcBorders>
            <w:shd w:val="clear" w:color="auto" w:fill="auto"/>
            <w:noWrap w:val="0"/>
            <w:vAlign w:val="bottom"/>
          </w:tcPr>
          <w:p>
            <w:pPr>
              <w:jc w:val="right"/>
            </w:pPr>
            <w:r>
              <w:rPr>
                <w:rFonts w:ascii="Arial" w:hAnsi="Arial" w:cs="Arial"/>
                <w:sz w:val="16"/>
                <w:szCs w:val="16"/>
              </w:rPr>
              <w:t>330</w:t>
            </w:r>
          </w:p>
        </w:tc>
        <w:tc>
          <w:tcPr>
            <w:tcW w:w="664"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01</w:t>
            </w:r>
          </w:p>
        </w:tc>
        <w:tc>
          <w:tcPr>
            <w:tcW w:w="867"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1604</w:t>
            </w:r>
          </w:p>
        </w:tc>
        <w:tc>
          <w:tcPr>
            <w:tcW w:w="683"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0013</w:t>
            </w:r>
          </w:p>
        </w:tc>
        <w:tc>
          <w:tcPr>
            <w:tcW w:w="778"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411</w:t>
            </w:r>
          </w:p>
        </w:tc>
        <w:tc>
          <w:tcPr>
            <w:tcW w:w="1887" w:type="dxa"/>
            <w:tcBorders>
              <w:left w:val="single" w:color="000000" w:sz="4" w:space="0"/>
              <w:bottom w:val="single" w:color="000000" w:sz="4" w:space="0"/>
            </w:tcBorders>
            <w:shd w:val="clear" w:color="auto" w:fill="auto"/>
            <w:noWrap w:val="0"/>
            <w:vAlign w:val="bottom"/>
          </w:tcPr>
          <w:p>
            <w:pPr>
              <w:jc w:val="center"/>
            </w:pPr>
            <w:r>
              <w:rPr>
                <w:rFonts w:ascii="Arial" w:hAnsi="Arial" w:cs="Arial"/>
                <w:sz w:val="16"/>
                <w:szCs w:val="16"/>
              </w:rPr>
              <w:t>Плате и додаци</w:t>
            </w:r>
          </w:p>
        </w:tc>
        <w:tc>
          <w:tcPr>
            <w:tcW w:w="1856"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lang w:val="sr-Latn-RS"/>
              </w:rPr>
              <w:t>3.348.</w:t>
            </w:r>
            <w:r>
              <w:rPr>
                <w:rFonts w:ascii="Arial" w:hAnsi="Arial" w:cs="Arial"/>
                <w:sz w:val="16"/>
                <w:szCs w:val="16"/>
              </w:rPr>
              <w:t>000,00</w:t>
            </w:r>
          </w:p>
        </w:tc>
        <w:tc>
          <w:tcPr>
            <w:tcW w:w="1331" w:type="dxa"/>
            <w:tcBorders>
              <w:left w:val="single" w:color="000000" w:sz="4" w:space="0"/>
              <w:bottom w:val="single" w:color="000000" w:sz="4" w:space="0"/>
              <w:right w:val="single" w:color="000000" w:sz="4" w:space="0"/>
            </w:tcBorders>
            <w:shd w:val="clear" w:color="auto" w:fill="auto"/>
            <w:noWrap w:val="0"/>
            <w:vAlign w:val="bottom"/>
          </w:tcPr>
          <w:p>
            <w:pPr>
              <w:snapToGrid w:val="0"/>
              <w:jc w:val="right"/>
              <w:rPr>
                <w:rFonts w:ascii="Arial" w:hAnsi="Arial" w:cs="Arial"/>
                <w:sz w:val="16"/>
                <w:szCs w:val="16"/>
              </w:rPr>
            </w:pPr>
          </w:p>
          <w:p>
            <w:pPr>
              <w:jc w:val="right"/>
            </w:pPr>
            <w:r>
              <w:rPr>
                <w:rFonts w:ascii="Arial" w:hAnsi="Arial" w:cs="Arial"/>
                <w:sz w:val="16"/>
                <w:szCs w:val="16"/>
                <w:lang w:val="sr-Latn-RS"/>
              </w:rPr>
              <w:t>3.347.663,00</w:t>
            </w:r>
            <w:r>
              <w:rPr>
                <w:rFonts w:ascii="Arial" w:hAnsi="Arial" w:cs="Arial"/>
                <w:sz w:val="16"/>
                <w:szCs w:val="16"/>
              </w:rPr>
              <w:br w:type="textWrapping"/>
            </w:r>
          </w:p>
        </w:tc>
      </w:tr>
      <w:tr>
        <w:tblPrEx>
          <w:tblCellMar>
            <w:top w:w="0" w:type="dxa"/>
            <w:left w:w="108" w:type="dxa"/>
            <w:bottom w:w="0" w:type="dxa"/>
            <w:right w:w="108" w:type="dxa"/>
          </w:tblCellMar>
        </w:tblPrEx>
        <w:trPr>
          <w:trHeight w:val="526" w:hRule="atLeast"/>
        </w:trPr>
        <w:tc>
          <w:tcPr>
            <w:tcW w:w="651" w:type="dxa"/>
            <w:tcBorders>
              <w:left w:val="single" w:color="000000" w:sz="8" w:space="0"/>
              <w:bottom w:val="single" w:color="000000" w:sz="4" w:space="0"/>
            </w:tcBorders>
            <w:shd w:val="clear" w:color="auto" w:fill="auto"/>
            <w:noWrap w:val="0"/>
            <w:vAlign w:val="bottom"/>
          </w:tcPr>
          <w:p>
            <w:pPr>
              <w:jc w:val="right"/>
            </w:pPr>
            <w:r>
              <w:rPr>
                <w:rFonts w:ascii="Arial" w:hAnsi="Arial" w:cs="Arial"/>
                <w:sz w:val="16"/>
                <w:szCs w:val="16"/>
              </w:rPr>
              <w:t>330</w:t>
            </w:r>
          </w:p>
        </w:tc>
        <w:tc>
          <w:tcPr>
            <w:tcW w:w="664"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01</w:t>
            </w:r>
          </w:p>
        </w:tc>
        <w:tc>
          <w:tcPr>
            <w:tcW w:w="867"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1604</w:t>
            </w:r>
          </w:p>
        </w:tc>
        <w:tc>
          <w:tcPr>
            <w:tcW w:w="683"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0013</w:t>
            </w:r>
          </w:p>
        </w:tc>
        <w:tc>
          <w:tcPr>
            <w:tcW w:w="778"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412</w:t>
            </w:r>
          </w:p>
        </w:tc>
        <w:tc>
          <w:tcPr>
            <w:tcW w:w="1887" w:type="dxa"/>
            <w:tcBorders>
              <w:left w:val="single" w:color="000000" w:sz="4" w:space="0"/>
              <w:bottom w:val="single" w:color="000000" w:sz="4" w:space="0"/>
            </w:tcBorders>
            <w:shd w:val="clear" w:color="auto" w:fill="auto"/>
            <w:noWrap w:val="0"/>
            <w:vAlign w:val="bottom"/>
          </w:tcPr>
          <w:p>
            <w:pPr>
              <w:jc w:val="center"/>
            </w:pPr>
            <w:r>
              <w:rPr>
                <w:rFonts w:ascii="Arial" w:hAnsi="Arial" w:cs="Arial"/>
                <w:sz w:val="16"/>
                <w:szCs w:val="16"/>
              </w:rPr>
              <w:t>Соц.доп.на терет посл.</w:t>
            </w:r>
          </w:p>
        </w:tc>
        <w:tc>
          <w:tcPr>
            <w:tcW w:w="1856"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lang w:val="sr-Latn-RS"/>
              </w:rPr>
              <w:t>541</w:t>
            </w:r>
            <w:r>
              <w:rPr>
                <w:rFonts w:ascii="Arial" w:hAnsi="Arial" w:cs="Arial"/>
                <w:sz w:val="16"/>
                <w:szCs w:val="16"/>
              </w:rPr>
              <w:t>.000,00</w:t>
            </w:r>
          </w:p>
        </w:tc>
        <w:tc>
          <w:tcPr>
            <w:tcW w:w="1331" w:type="dxa"/>
            <w:tcBorders>
              <w:left w:val="single" w:color="000000" w:sz="4" w:space="0"/>
              <w:bottom w:val="single" w:color="000000" w:sz="4" w:space="0"/>
              <w:right w:val="single" w:color="000000" w:sz="4" w:space="0"/>
            </w:tcBorders>
            <w:shd w:val="clear" w:color="auto" w:fill="auto"/>
            <w:noWrap w:val="0"/>
            <w:vAlign w:val="bottom"/>
          </w:tcPr>
          <w:p>
            <w:pPr>
              <w:jc w:val="right"/>
            </w:pPr>
            <w:r>
              <w:rPr>
                <w:rFonts w:ascii="Arial" w:hAnsi="Arial" w:eastAsia="Arial" w:cs="Arial"/>
                <w:color w:val="000000"/>
                <w:sz w:val="16"/>
                <w:szCs w:val="16"/>
              </w:rPr>
              <w:t xml:space="preserve">  </w:t>
            </w:r>
            <w:r>
              <w:rPr>
                <w:rFonts w:ascii="Arial" w:hAnsi="Arial" w:eastAsia="Arial" w:cs="Arial"/>
                <w:bCs/>
                <w:color w:val="000000"/>
                <w:sz w:val="16"/>
                <w:szCs w:val="16"/>
                <w:lang w:val="sr-Latn-RS"/>
              </w:rPr>
              <w:t>540.647,58</w:t>
            </w:r>
            <w:r>
              <w:rPr>
                <w:rFonts w:ascii="Arial" w:hAnsi="Arial" w:cs="Arial"/>
                <w:b/>
                <w:bCs/>
                <w:color w:val="FFFFFF"/>
                <w:sz w:val="14"/>
                <w:szCs w:val="14"/>
              </w:rPr>
              <w:t>.91</w:t>
            </w:r>
            <w:r>
              <w:rPr>
                <w:rFonts w:ascii="Arial" w:hAnsi="Arial" w:cs="Arial"/>
                <w:b/>
                <w:bCs/>
                <w:sz w:val="14"/>
                <w:szCs w:val="14"/>
              </w:rPr>
              <w:t xml:space="preserve"> </w:t>
            </w:r>
          </w:p>
        </w:tc>
      </w:tr>
      <w:tr>
        <w:tblPrEx>
          <w:tblCellMar>
            <w:top w:w="0" w:type="dxa"/>
            <w:left w:w="108" w:type="dxa"/>
            <w:bottom w:w="0" w:type="dxa"/>
            <w:right w:w="108" w:type="dxa"/>
          </w:tblCellMar>
        </w:tblPrEx>
        <w:trPr>
          <w:trHeight w:val="268" w:hRule="atLeast"/>
        </w:trPr>
        <w:tc>
          <w:tcPr>
            <w:tcW w:w="651" w:type="dxa"/>
            <w:tcBorders>
              <w:left w:val="single" w:color="000000" w:sz="8" w:space="0"/>
              <w:bottom w:val="single" w:color="000000" w:sz="4" w:space="0"/>
            </w:tcBorders>
            <w:shd w:val="clear" w:color="auto" w:fill="auto"/>
            <w:noWrap w:val="0"/>
            <w:vAlign w:val="bottom"/>
          </w:tcPr>
          <w:p>
            <w:pPr>
              <w:jc w:val="right"/>
            </w:pPr>
            <w:r>
              <w:rPr>
                <w:rFonts w:ascii="Arial" w:hAnsi="Arial" w:cs="Arial"/>
                <w:sz w:val="16"/>
                <w:szCs w:val="16"/>
              </w:rPr>
              <w:t>330</w:t>
            </w:r>
          </w:p>
        </w:tc>
        <w:tc>
          <w:tcPr>
            <w:tcW w:w="664"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01</w:t>
            </w:r>
          </w:p>
        </w:tc>
        <w:tc>
          <w:tcPr>
            <w:tcW w:w="867"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1604</w:t>
            </w:r>
          </w:p>
        </w:tc>
        <w:tc>
          <w:tcPr>
            <w:tcW w:w="683"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0013</w:t>
            </w:r>
          </w:p>
        </w:tc>
        <w:tc>
          <w:tcPr>
            <w:tcW w:w="778"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413</w:t>
            </w:r>
          </w:p>
        </w:tc>
        <w:tc>
          <w:tcPr>
            <w:tcW w:w="1887" w:type="dxa"/>
            <w:tcBorders>
              <w:left w:val="single" w:color="000000" w:sz="4" w:space="0"/>
              <w:bottom w:val="single" w:color="000000" w:sz="4" w:space="0"/>
            </w:tcBorders>
            <w:shd w:val="clear" w:color="auto" w:fill="auto"/>
            <w:noWrap w:val="0"/>
            <w:vAlign w:val="bottom"/>
          </w:tcPr>
          <w:p>
            <w:pPr>
              <w:jc w:val="center"/>
            </w:pPr>
            <w:r>
              <w:rPr>
                <w:rFonts w:ascii="Arial" w:hAnsi="Arial" w:cs="Arial"/>
                <w:sz w:val="16"/>
                <w:szCs w:val="16"/>
              </w:rPr>
              <w:t>Накнаде у натури</w:t>
            </w:r>
          </w:p>
        </w:tc>
        <w:tc>
          <w:tcPr>
            <w:tcW w:w="1856"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lang w:val="sr-Latn-RS"/>
              </w:rPr>
              <w:t>4</w:t>
            </w:r>
            <w:r>
              <w:rPr>
                <w:rFonts w:ascii="Arial" w:hAnsi="Arial" w:cs="Arial"/>
                <w:sz w:val="16"/>
                <w:szCs w:val="16"/>
              </w:rPr>
              <w:t>.000,00</w:t>
            </w:r>
          </w:p>
        </w:tc>
        <w:tc>
          <w:tcPr>
            <w:tcW w:w="1331" w:type="dxa"/>
            <w:tcBorders>
              <w:left w:val="single" w:color="000000" w:sz="4" w:space="0"/>
              <w:bottom w:val="single" w:color="000000" w:sz="4" w:space="0"/>
              <w:right w:val="single" w:color="000000" w:sz="4" w:space="0"/>
            </w:tcBorders>
            <w:shd w:val="clear" w:color="auto" w:fill="auto"/>
            <w:noWrap w:val="0"/>
            <w:vAlign w:val="bottom"/>
          </w:tcPr>
          <w:p>
            <w:pPr>
              <w:jc w:val="right"/>
            </w:pPr>
            <w:r>
              <w:rPr>
                <w:rFonts w:ascii="Arial" w:hAnsi="Arial" w:cs="Arial"/>
                <w:sz w:val="16"/>
                <w:szCs w:val="16"/>
                <w:lang w:val="sr-Latn-RS"/>
              </w:rPr>
              <w:t>3</w:t>
            </w:r>
            <w:r>
              <w:rPr>
                <w:rFonts w:ascii="Arial" w:hAnsi="Arial" w:cs="Arial"/>
                <w:sz w:val="16"/>
                <w:szCs w:val="16"/>
              </w:rPr>
              <w:t>.000,00</w:t>
            </w:r>
          </w:p>
        </w:tc>
      </w:tr>
      <w:tr>
        <w:tblPrEx>
          <w:tblCellMar>
            <w:top w:w="0" w:type="dxa"/>
            <w:left w:w="108" w:type="dxa"/>
            <w:bottom w:w="0" w:type="dxa"/>
            <w:right w:w="108" w:type="dxa"/>
          </w:tblCellMar>
        </w:tblPrEx>
        <w:trPr>
          <w:trHeight w:val="268" w:hRule="atLeast"/>
        </w:trPr>
        <w:tc>
          <w:tcPr>
            <w:tcW w:w="651" w:type="dxa"/>
            <w:tcBorders>
              <w:left w:val="single" w:color="000000" w:sz="8" w:space="0"/>
              <w:bottom w:val="single" w:color="000000" w:sz="4" w:space="0"/>
            </w:tcBorders>
            <w:shd w:val="clear" w:color="auto" w:fill="auto"/>
            <w:noWrap w:val="0"/>
            <w:vAlign w:val="bottom"/>
          </w:tcPr>
          <w:p>
            <w:pPr>
              <w:jc w:val="right"/>
            </w:pPr>
            <w:r>
              <w:rPr>
                <w:rFonts w:ascii="Arial" w:hAnsi="Arial" w:cs="Arial"/>
                <w:sz w:val="16"/>
                <w:szCs w:val="16"/>
              </w:rPr>
              <w:t>330</w:t>
            </w:r>
          </w:p>
        </w:tc>
        <w:tc>
          <w:tcPr>
            <w:tcW w:w="664"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01</w:t>
            </w:r>
          </w:p>
        </w:tc>
        <w:tc>
          <w:tcPr>
            <w:tcW w:w="867"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1604</w:t>
            </w:r>
          </w:p>
        </w:tc>
        <w:tc>
          <w:tcPr>
            <w:tcW w:w="683"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0013</w:t>
            </w:r>
          </w:p>
        </w:tc>
        <w:tc>
          <w:tcPr>
            <w:tcW w:w="778"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414</w:t>
            </w:r>
          </w:p>
        </w:tc>
        <w:tc>
          <w:tcPr>
            <w:tcW w:w="1887" w:type="dxa"/>
            <w:tcBorders>
              <w:left w:val="single" w:color="000000" w:sz="4" w:space="0"/>
              <w:bottom w:val="single" w:color="000000" w:sz="4" w:space="0"/>
            </w:tcBorders>
            <w:shd w:val="clear" w:color="auto" w:fill="auto"/>
            <w:noWrap w:val="0"/>
            <w:vAlign w:val="bottom"/>
          </w:tcPr>
          <w:p>
            <w:pPr>
              <w:jc w:val="center"/>
            </w:pPr>
            <w:r>
              <w:rPr>
                <w:rFonts w:ascii="Arial" w:hAnsi="Arial" w:cs="Arial"/>
                <w:sz w:val="16"/>
                <w:szCs w:val="16"/>
              </w:rPr>
              <w:t>Соц. Давања</w:t>
            </w:r>
          </w:p>
        </w:tc>
        <w:tc>
          <w:tcPr>
            <w:tcW w:w="1856"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lang w:val="sr-Latn-RS"/>
              </w:rPr>
              <w:t>356</w:t>
            </w:r>
            <w:r>
              <w:rPr>
                <w:rFonts w:ascii="Arial" w:hAnsi="Arial" w:cs="Arial"/>
                <w:sz w:val="16"/>
                <w:szCs w:val="16"/>
              </w:rPr>
              <w:t>,000.00</w:t>
            </w:r>
          </w:p>
        </w:tc>
        <w:tc>
          <w:tcPr>
            <w:tcW w:w="1331" w:type="dxa"/>
            <w:tcBorders>
              <w:left w:val="single" w:color="000000" w:sz="4" w:space="0"/>
              <w:bottom w:val="single" w:color="000000" w:sz="4" w:space="0"/>
              <w:right w:val="single" w:color="000000" w:sz="4" w:space="0"/>
            </w:tcBorders>
            <w:shd w:val="clear" w:color="auto" w:fill="auto"/>
            <w:noWrap w:val="0"/>
            <w:vAlign w:val="bottom"/>
          </w:tcPr>
          <w:p>
            <w:pPr>
              <w:jc w:val="right"/>
            </w:pPr>
            <w:r>
              <w:rPr>
                <w:rFonts w:ascii="Arial" w:hAnsi="Arial" w:cs="Arial"/>
                <w:sz w:val="16"/>
                <w:szCs w:val="16"/>
                <w:lang w:val="sr-Latn-RS"/>
              </w:rPr>
              <w:t>355.624,00</w:t>
            </w:r>
          </w:p>
        </w:tc>
      </w:tr>
      <w:tr>
        <w:tblPrEx>
          <w:tblCellMar>
            <w:top w:w="0" w:type="dxa"/>
            <w:left w:w="108" w:type="dxa"/>
            <w:bottom w:w="0" w:type="dxa"/>
            <w:right w:w="108" w:type="dxa"/>
          </w:tblCellMar>
        </w:tblPrEx>
        <w:trPr>
          <w:trHeight w:val="298" w:hRule="atLeast"/>
        </w:trPr>
        <w:tc>
          <w:tcPr>
            <w:tcW w:w="651" w:type="dxa"/>
            <w:tcBorders>
              <w:left w:val="single" w:color="000000" w:sz="8" w:space="0"/>
              <w:bottom w:val="single" w:color="000000" w:sz="4" w:space="0"/>
            </w:tcBorders>
            <w:shd w:val="clear" w:color="auto" w:fill="auto"/>
            <w:noWrap w:val="0"/>
            <w:vAlign w:val="bottom"/>
          </w:tcPr>
          <w:p>
            <w:pPr>
              <w:jc w:val="right"/>
            </w:pPr>
            <w:r>
              <w:rPr>
                <w:rFonts w:ascii="Arial" w:hAnsi="Arial" w:cs="Arial"/>
                <w:sz w:val="16"/>
                <w:szCs w:val="16"/>
              </w:rPr>
              <w:t>330</w:t>
            </w:r>
          </w:p>
        </w:tc>
        <w:tc>
          <w:tcPr>
            <w:tcW w:w="664"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01</w:t>
            </w:r>
          </w:p>
        </w:tc>
        <w:tc>
          <w:tcPr>
            <w:tcW w:w="867"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1604</w:t>
            </w:r>
          </w:p>
        </w:tc>
        <w:tc>
          <w:tcPr>
            <w:tcW w:w="683"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0013</w:t>
            </w:r>
          </w:p>
        </w:tc>
        <w:tc>
          <w:tcPr>
            <w:tcW w:w="778"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415</w:t>
            </w:r>
          </w:p>
        </w:tc>
        <w:tc>
          <w:tcPr>
            <w:tcW w:w="1887" w:type="dxa"/>
            <w:tcBorders>
              <w:left w:val="single" w:color="000000" w:sz="4" w:space="0"/>
              <w:bottom w:val="single" w:color="000000" w:sz="4" w:space="0"/>
            </w:tcBorders>
            <w:shd w:val="clear" w:color="auto" w:fill="auto"/>
            <w:noWrap w:val="0"/>
            <w:vAlign w:val="bottom"/>
          </w:tcPr>
          <w:p>
            <w:pPr>
              <w:jc w:val="center"/>
            </w:pPr>
            <w:r>
              <w:rPr>
                <w:rFonts w:ascii="Arial" w:hAnsi="Arial" w:cs="Arial"/>
                <w:sz w:val="16"/>
                <w:szCs w:val="16"/>
              </w:rPr>
              <w:t>Накн.тр.запосл.</w:t>
            </w:r>
          </w:p>
        </w:tc>
        <w:tc>
          <w:tcPr>
            <w:tcW w:w="1856"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lang w:val="sr-Latn-RS"/>
              </w:rPr>
              <w:t>55</w:t>
            </w:r>
            <w:r>
              <w:rPr>
                <w:rFonts w:ascii="Arial" w:hAnsi="Arial" w:cs="Arial"/>
                <w:sz w:val="16"/>
                <w:szCs w:val="16"/>
              </w:rPr>
              <w:t>.000.00</w:t>
            </w:r>
          </w:p>
        </w:tc>
        <w:tc>
          <w:tcPr>
            <w:tcW w:w="1331" w:type="dxa"/>
            <w:tcBorders>
              <w:left w:val="single" w:color="000000" w:sz="4" w:space="0"/>
              <w:bottom w:val="single" w:color="000000" w:sz="4" w:space="0"/>
              <w:right w:val="single" w:color="000000" w:sz="4" w:space="0"/>
            </w:tcBorders>
            <w:shd w:val="clear" w:color="auto" w:fill="auto"/>
            <w:noWrap w:val="0"/>
            <w:vAlign w:val="bottom"/>
          </w:tcPr>
          <w:p>
            <w:pPr>
              <w:jc w:val="right"/>
            </w:pPr>
            <w:r>
              <w:rPr>
                <w:rFonts w:ascii="Arial" w:hAnsi="Arial" w:cs="Arial"/>
                <w:sz w:val="16"/>
                <w:szCs w:val="16"/>
                <w:lang w:val="sr-Latn-RS"/>
              </w:rPr>
              <w:t>35.950,00</w:t>
            </w:r>
          </w:p>
        </w:tc>
      </w:tr>
      <w:tr>
        <w:tblPrEx>
          <w:tblCellMar>
            <w:top w:w="0" w:type="dxa"/>
            <w:left w:w="108" w:type="dxa"/>
            <w:bottom w:w="0" w:type="dxa"/>
            <w:right w:w="108" w:type="dxa"/>
          </w:tblCellMar>
        </w:tblPrEx>
        <w:trPr>
          <w:trHeight w:val="465" w:hRule="atLeast"/>
        </w:trPr>
        <w:tc>
          <w:tcPr>
            <w:tcW w:w="651" w:type="dxa"/>
            <w:tcBorders>
              <w:left w:val="single" w:color="000000" w:sz="8" w:space="0"/>
              <w:bottom w:val="single" w:color="000000" w:sz="4" w:space="0"/>
            </w:tcBorders>
            <w:shd w:val="clear" w:color="auto" w:fill="auto"/>
            <w:noWrap w:val="0"/>
            <w:vAlign w:val="bottom"/>
          </w:tcPr>
          <w:p>
            <w:pPr>
              <w:jc w:val="right"/>
            </w:pPr>
            <w:r>
              <w:rPr>
                <w:rFonts w:ascii="Arial" w:hAnsi="Arial" w:cs="Arial"/>
                <w:sz w:val="16"/>
                <w:szCs w:val="16"/>
              </w:rPr>
              <w:t>330</w:t>
            </w:r>
          </w:p>
        </w:tc>
        <w:tc>
          <w:tcPr>
            <w:tcW w:w="664"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01</w:t>
            </w:r>
          </w:p>
        </w:tc>
        <w:tc>
          <w:tcPr>
            <w:tcW w:w="867"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1604</w:t>
            </w:r>
          </w:p>
        </w:tc>
        <w:tc>
          <w:tcPr>
            <w:tcW w:w="683"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0013</w:t>
            </w:r>
          </w:p>
        </w:tc>
        <w:tc>
          <w:tcPr>
            <w:tcW w:w="778"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416</w:t>
            </w:r>
          </w:p>
        </w:tc>
        <w:tc>
          <w:tcPr>
            <w:tcW w:w="1887" w:type="dxa"/>
            <w:tcBorders>
              <w:left w:val="single" w:color="000000" w:sz="4" w:space="0"/>
              <w:bottom w:val="single" w:color="000000" w:sz="4" w:space="0"/>
            </w:tcBorders>
            <w:shd w:val="clear" w:color="auto" w:fill="auto"/>
            <w:noWrap w:val="0"/>
            <w:vAlign w:val="bottom"/>
          </w:tcPr>
          <w:p>
            <w:pPr>
              <w:jc w:val="center"/>
            </w:pPr>
            <w:r>
              <w:rPr>
                <w:rFonts w:ascii="Arial" w:hAnsi="Arial" w:cs="Arial"/>
                <w:sz w:val="16"/>
                <w:szCs w:val="16"/>
              </w:rPr>
              <w:t>Нагр.запосл.и ост.рас.</w:t>
            </w:r>
          </w:p>
        </w:tc>
        <w:tc>
          <w:tcPr>
            <w:tcW w:w="1856"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1.</w:t>
            </w:r>
            <w:r>
              <w:rPr>
                <w:rFonts w:ascii="Arial" w:hAnsi="Arial" w:cs="Arial"/>
                <w:sz w:val="16"/>
                <w:szCs w:val="16"/>
                <w:lang w:val="sr-Latn-RS"/>
              </w:rPr>
              <w:t>000</w:t>
            </w:r>
            <w:r>
              <w:rPr>
                <w:rFonts w:ascii="Arial" w:hAnsi="Arial" w:cs="Arial"/>
                <w:sz w:val="16"/>
                <w:szCs w:val="16"/>
              </w:rPr>
              <w:t>,00</w:t>
            </w:r>
          </w:p>
        </w:tc>
        <w:tc>
          <w:tcPr>
            <w:tcW w:w="1331" w:type="dxa"/>
            <w:tcBorders>
              <w:left w:val="single" w:color="000000" w:sz="4" w:space="0"/>
              <w:bottom w:val="single" w:color="000000" w:sz="4" w:space="0"/>
              <w:right w:val="single" w:color="000000" w:sz="4" w:space="0"/>
            </w:tcBorders>
            <w:shd w:val="clear" w:color="auto" w:fill="auto"/>
            <w:noWrap w:val="0"/>
            <w:vAlign w:val="bottom"/>
          </w:tcPr>
          <w:p>
            <w:pPr>
              <w:jc w:val="right"/>
            </w:pPr>
            <w:r>
              <w:rPr>
                <w:rFonts w:ascii="Arial" w:hAnsi="Arial" w:cs="Arial"/>
                <w:sz w:val="16"/>
                <w:szCs w:val="16"/>
                <w:lang w:val="sr-Latn-RS"/>
              </w:rPr>
              <w:t>0</w:t>
            </w:r>
            <w:r>
              <w:rPr>
                <w:rFonts w:ascii="Arial" w:hAnsi="Arial" w:cs="Arial"/>
                <w:sz w:val="16"/>
                <w:szCs w:val="16"/>
              </w:rPr>
              <w:t>,00</w:t>
            </w:r>
          </w:p>
        </w:tc>
      </w:tr>
      <w:tr>
        <w:tblPrEx>
          <w:tblCellMar>
            <w:top w:w="0" w:type="dxa"/>
            <w:left w:w="108" w:type="dxa"/>
            <w:bottom w:w="0" w:type="dxa"/>
            <w:right w:w="108" w:type="dxa"/>
          </w:tblCellMar>
        </w:tblPrEx>
        <w:trPr>
          <w:trHeight w:val="404" w:hRule="atLeast"/>
        </w:trPr>
        <w:tc>
          <w:tcPr>
            <w:tcW w:w="651" w:type="dxa"/>
            <w:tcBorders>
              <w:left w:val="single" w:color="000000" w:sz="8" w:space="0"/>
              <w:bottom w:val="single" w:color="000000" w:sz="4" w:space="0"/>
            </w:tcBorders>
            <w:shd w:val="clear" w:color="auto" w:fill="auto"/>
            <w:noWrap w:val="0"/>
            <w:vAlign w:val="bottom"/>
          </w:tcPr>
          <w:p>
            <w:pPr>
              <w:jc w:val="right"/>
            </w:pPr>
            <w:r>
              <w:rPr>
                <w:rFonts w:ascii="Arial" w:hAnsi="Arial" w:cs="Arial"/>
                <w:sz w:val="16"/>
                <w:szCs w:val="16"/>
              </w:rPr>
              <w:t>330</w:t>
            </w:r>
          </w:p>
        </w:tc>
        <w:tc>
          <w:tcPr>
            <w:tcW w:w="664"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01</w:t>
            </w:r>
          </w:p>
        </w:tc>
        <w:tc>
          <w:tcPr>
            <w:tcW w:w="867"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1604</w:t>
            </w:r>
          </w:p>
        </w:tc>
        <w:tc>
          <w:tcPr>
            <w:tcW w:w="683"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0013</w:t>
            </w:r>
          </w:p>
        </w:tc>
        <w:tc>
          <w:tcPr>
            <w:tcW w:w="778"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421</w:t>
            </w:r>
          </w:p>
        </w:tc>
        <w:tc>
          <w:tcPr>
            <w:tcW w:w="1887" w:type="dxa"/>
            <w:tcBorders>
              <w:left w:val="single" w:color="000000" w:sz="4" w:space="0"/>
              <w:bottom w:val="single" w:color="000000" w:sz="4" w:space="0"/>
            </w:tcBorders>
            <w:shd w:val="clear" w:color="auto" w:fill="auto"/>
            <w:noWrap w:val="0"/>
            <w:vAlign w:val="bottom"/>
          </w:tcPr>
          <w:p>
            <w:pPr>
              <w:jc w:val="center"/>
            </w:pPr>
            <w:r>
              <w:rPr>
                <w:rFonts w:ascii="Arial" w:hAnsi="Arial" w:cs="Arial"/>
                <w:sz w:val="16"/>
                <w:szCs w:val="16"/>
              </w:rPr>
              <w:t>Стални трошкови</w:t>
            </w:r>
          </w:p>
        </w:tc>
        <w:tc>
          <w:tcPr>
            <w:tcW w:w="1856"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lang w:val="sr-Latn-RS"/>
              </w:rPr>
              <w:t>320</w:t>
            </w:r>
            <w:r>
              <w:rPr>
                <w:rFonts w:ascii="Arial" w:hAnsi="Arial" w:cs="Arial"/>
                <w:sz w:val="16"/>
                <w:szCs w:val="16"/>
              </w:rPr>
              <w:t>,000.00</w:t>
            </w:r>
          </w:p>
        </w:tc>
        <w:tc>
          <w:tcPr>
            <w:tcW w:w="1331" w:type="dxa"/>
            <w:tcBorders>
              <w:left w:val="single" w:color="000000" w:sz="4" w:space="0"/>
              <w:bottom w:val="single" w:color="000000" w:sz="4" w:space="0"/>
              <w:right w:val="single" w:color="000000" w:sz="4" w:space="0"/>
            </w:tcBorders>
            <w:shd w:val="clear" w:color="auto" w:fill="auto"/>
            <w:noWrap w:val="0"/>
            <w:vAlign w:val="bottom"/>
          </w:tcPr>
          <w:p>
            <w:pPr>
              <w:jc w:val="right"/>
            </w:pPr>
            <w:r>
              <w:rPr>
                <w:rFonts w:ascii="Helvetica Neue" w:hAnsi="Helvetica Neue" w:cs="Helvetica Neue"/>
                <w:color w:val="FFFFFF"/>
                <w:sz w:val="18"/>
                <w:szCs w:val="16"/>
              </w:rPr>
              <w:t>28</w:t>
            </w:r>
            <w:r>
              <w:rPr>
                <w:rFonts w:ascii="Helvetica Neue" w:hAnsi="Helvetica Neue" w:cs="Helvetica Neue"/>
                <w:color w:val="FFFFFF"/>
                <w:sz w:val="16"/>
                <w:szCs w:val="16"/>
              </w:rPr>
              <w:t>288</w:t>
            </w:r>
            <w:r>
              <w:rPr>
                <w:rFonts w:ascii="Helvetica Neue" w:hAnsi="Helvetica Neue" w:cs="Helvetica Neue"/>
                <w:b/>
                <w:bCs/>
                <w:color w:val="FFFFFF"/>
                <w:sz w:val="16"/>
                <w:szCs w:val="16"/>
              </w:rPr>
              <w:t>28</w:t>
            </w:r>
            <w:r>
              <w:rPr>
                <w:rFonts w:ascii="Arial" w:hAnsi="Arial" w:cs="Arial"/>
                <w:b/>
                <w:bCs/>
                <w:color w:val="FFFFFF"/>
                <w:sz w:val="16"/>
                <w:szCs w:val="16"/>
              </w:rPr>
              <w:t>2</w:t>
            </w:r>
            <w:r>
              <w:rPr>
                <w:rFonts w:ascii="Arial" w:hAnsi="Arial" w:cs="Arial"/>
                <w:b/>
                <w:bCs/>
                <w:color w:val="FFFFFF"/>
                <w:sz w:val="16"/>
                <w:szCs w:val="16"/>
                <w:lang w:val="sr-Latn-RS"/>
              </w:rPr>
              <w:t>256.858,</w:t>
            </w:r>
            <w:r>
              <w:rPr>
                <w:rFonts w:ascii="Arial" w:hAnsi="Arial" w:cs="Arial"/>
                <w:sz w:val="16"/>
                <w:szCs w:val="16"/>
              </w:rPr>
              <w:t xml:space="preserve"> </w:t>
            </w:r>
          </w:p>
        </w:tc>
      </w:tr>
      <w:tr>
        <w:tblPrEx>
          <w:tblCellMar>
            <w:top w:w="0" w:type="dxa"/>
            <w:left w:w="108" w:type="dxa"/>
            <w:bottom w:w="0" w:type="dxa"/>
            <w:right w:w="108" w:type="dxa"/>
          </w:tblCellMar>
        </w:tblPrEx>
        <w:trPr>
          <w:trHeight w:val="268" w:hRule="atLeast"/>
        </w:trPr>
        <w:tc>
          <w:tcPr>
            <w:tcW w:w="651" w:type="dxa"/>
            <w:tcBorders>
              <w:left w:val="single" w:color="000000" w:sz="8" w:space="0"/>
              <w:bottom w:val="single" w:color="000000" w:sz="4" w:space="0"/>
            </w:tcBorders>
            <w:shd w:val="clear" w:color="auto" w:fill="auto"/>
            <w:noWrap w:val="0"/>
            <w:vAlign w:val="bottom"/>
          </w:tcPr>
          <w:p>
            <w:pPr>
              <w:jc w:val="right"/>
            </w:pPr>
            <w:r>
              <w:rPr>
                <w:rFonts w:ascii="Arial" w:hAnsi="Arial" w:cs="Arial"/>
                <w:sz w:val="16"/>
                <w:szCs w:val="16"/>
              </w:rPr>
              <w:t>330</w:t>
            </w:r>
          </w:p>
        </w:tc>
        <w:tc>
          <w:tcPr>
            <w:tcW w:w="664"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01</w:t>
            </w:r>
          </w:p>
        </w:tc>
        <w:tc>
          <w:tcPr>
            <w:tcW w:w="867"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1604</w:t>
            </w:r>
          </w:p>
        </w:tc>
        <w:tc>
          <w:tcPr>
            <w:tcW w:w="683"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0013</w:t>
            </w:r>
          </w:p>
        </w:tc>
        <w:tc>
          <w:tcPr>
            <w:tcW w:w="778"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422</w:t>
            </w:r>
          </w:p>
        </w:tc>
        <w:tc>
          <w:tcPr>
            <w:tcW w:w="1887" w:type="dxa"/>
            <w:tcBorders>
              <w:left w:val="single" w:color="000000" w:sz="4" w:space="0"/>
              <w:bottom w:val="single" w:color="000000" w:sz="4" w:space="0"/>
            </w:tcBorders>
            <w:shd w:val="clear" w:color="auto" w:fill="auto"/>
            <w:noWrap w:val="0"/>
            <w:vAlign w:val="bottom"/>
          </w:tcPr>
          <w:p>
            <w:pPr>
              <w:jc w:val="center"/>
            </w:pPr>
            <w:r>
              <w:rPr>
                <w:rFonts w:ascii="Arial" w:hAnsi="Arial" w:cs="Arial"/>
                <w:sz w:val="16"/>
                <w:szCs w:val="16"/>
              </w:rPr>
              <w:t>Трошкови путовања</w:t>
            </w:r>
          </w:p>
        </w:tc>
        <w:tc>
          <w:tcPr>
            <w:tcW w:w="1856"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55.000,00</w:t>
            </w:r>
          </w:p>
        </w:tc>
        <w:tc>
          <w:tcPr>
            <w:tcW w:w="1331" w:type="dxa"/>
            <w:tcBorders>
              <w:left w:val="single" w:color="000000" w:sz="4" w:space="0"/>
              <w:bottom w:val="single" w:color="000000" w:sz="4" w:space="0"/>
              <w:right w:val="single" w:color="000000" w:sz="4" w:space="0"/>
            </w:tcBorders>
            <w:shd w:val="clear" w:color="auto" w:fill="auto"/>
            <w:noWrap w:val="0"/>
            <w:vAlign w:val="bottom"/>
          </w:tcPr>
          <w:p>
            <w:pPr>
              <w:jc w:val="right"/>
            </w:pPr>
            <w:r>
              <w:rPr>
                <w:rFonts w:ascii="Arial" w:hAnsi="Arial" w:cs="Arial"/>
                <w:sz w:val="16"/>
                <w:szCs w:val="16"/>
              </w:rPr>
              <w:t>54.4380,00</w:t>
            </w:r>
          </w:p>
        </w:tc>
      </w:tr>
      <w:tr>
        <w:tblPrEx>
          <w:tblCellMar>
            <w:top w:w="0" w:type="dxa"/>
            <w:left w:w="108" w:type="dxa"/>
            <w:bottom w:w="0" w:type="dxa"/>
            <w:right w:w="108" w:type="dxa"/>
          </w:tblCellMar>
        </w:tblPrEx>
        <w:trPr>
          <w:trHeight w:val="268" w:hRule="atLeast"/>
        </w:trPr>
        <w:tc>
          <w:tcPr>
            <w:tcW w:w="651" w:type="dxa"/>
            <w:tcBorders>
              <w:left w:val="single" w:color="000000" w:sz="8" w:space="0"/>
              <w:bottom w:val="single" w:color="000000" w:sz="4" w:space="0"/>
            </w:tcBorders>
            <w:shd w:val="clear" w:color="auto" w:fill="auto"/>
            <w:noWrap w:val="0"/>
            <w:vAlign w:val="bottom"/>
          </w:tcPr>
          <w:p>
            <w:pPr>
              <w:jc w:val="right"/>
            </w:pPr>
            <w:r>
              <w:rPr>
                <w:rFonts w:ascii="Arial" w:hAnsi="Arial" w:cs="Arial"/>
                <w:sz w:val="16"/>
                <w:szCs w:val="16"/>
              </w:rPr>
              <w:t>330</w:t>
            </w:r>
          </w:p>
        </w:tc>
        <w:tc>
          <w:tcPr>
            <w:tcW w:w="664"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01</w:t>
            </w:r>
          </w:p>
        </w:tc>
        <w:tc>
          <w:tcPr>
            <w:tcW w:w="867"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1604</w:t>
            </w:r>
          </w:p>
        </w:tc>
        <w:tc>
          <w:tcPr>
            <w:tcW w:w="683"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0013</w:t>
            </w:r>
          </w:p>
        </w:tc>
        <w:tc>
          <w:tcPr>
            <w:tcW w:w="778"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423</w:t>
            </w:r>
          </w:p>
        </w:tc>
        <w:tc>
          <w:tcPr>
            <w:tcW w:w="1887" w:type="dxa"/>
            <w:tcBorders>
              <w:left w:val="single" w:color="000000" w:sz="4" w:space="0"/>
              <w:bottom w:val="single" w:color="000000" w:sz="4" w:space="0"/>
            </w:tcBorders>
            <w:shd w:val="clear" w:color="auto" w:fill="auto"/>
            <w:noWrap w:val="0"/>
            <w:vAlign w:val="bottom"/>
          </w:tcPr>
          <w:p>
            <w:pPr>
              <w:jc w:val="center"/>
            </w:pPr>
            <w:r>
              <w:rPr>
                <w:rFonts w:ascii="Arial" w:hAnsi="Arial" w:cs="Arial"/>
                <w:sz w:val="16"/>
                <w:szCs w:val="16"/>
              </w:rPr>
              <w:t>Услуге по уговору</w:t>
            </w:r>
          </w:p>
        </w:tc>
        <w:tc>
          <w:tcPr>
            <w:tcW w:w="1856"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2.500.000.00</w:t>
            </w:r>
          </w:p>
        </w:tc>
        <w:tc>
          <w:tcPr>
            <w:tcW w:w="1331" w:type="dxa"/>
            <w:tcBorders>
              <w:left w:val="single" w:color="000000" w:sz="4" w:space="0"/>
              <w:bottom w:val="single" w:color="000000" w:sz="4" w:space="0"/>
              <w:right w:val="single" w:color="000000" w:sz="4" w:space="0"/>
            </w:tcBorders>
            <w:shd w:val="clear" w:color="auto" w:fill="auto"/>
            <w:noWrap w:val="0"/>
            <w:vAlign w:val="bottom"/>
          </w:tcPr>
          <w:p>
            <w:pPr>
              <w:jc w:val="right"/>
            </w:pPr>
            <w:r>
              <w:rPr>
                <w:rFonts w:ascii="Arial" w:hAnsi="Arial" w:cs="Arial"/>
                <w:sz w:val="16"/>
                <w:szCs w:val="16"/>
                <w:lang w:val="sr-Latn-RS"/>
              </w:rPr>
              <w:t>256.858,00</w:t>
            </w:r>
          </w:p>
        </w:tc>
      </w:tr>
      <w:tr>
        <w:tblPrEx>
          <w:tblCellMar>
            <w:top w:w="0" w:type="dxa"/>
            <w:left w:w="108" w:type="dxa"/>
            <w:bottom w:w="0" w:type="dxa"/>
            <w:right w:w="108" w:type="dxa"/>
          </w:tblCellMar>
        </w:tblPrEx>
        <w:trPr>
          <w:trHeight w:val="465" w:hRule="atLeast"/>
        </w:trPr>
        <w:tc>
          <w:tcPr>
            <w:tcW w:w="651" w:type="dxa"/>
            <w:tcBorders>
              <w:left w:val="single" w:color="000000" w:sz="8" w:space="0"/>
              <w:bottom w:val="single" w:color="000000" w:sz="4" w:space="0"/>
            </w:tcBorders>
            <w:shd w:val="clear" w:color="auto" w:fill="auto"/>
            <w:noWrap w:val="0"/>
            <w:vAlign w:val="bottom"/>
          </w:tcPr>
          <w:p>
            <w:pPr>
              <w:jc w:val="right"/>
            </w:pPr>
            <w:r>
              <w:rPr>
                <w:rFonts w:ascii="Arial" w:hAnsi="Arial" w:cs="Arial"/>
                <w:sz w:val="16"/>
                <w:szCs w:val="16"/>
              </w:rPr>
              <w:t>330</w:t>
            </w:r>
          </w:p>
        </w:tc>
        <w:tc>
          <w:tcPr>
            <w:tcW w:w="664"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01</w:t>
            </w:r>
          </w:p>
        </w:tc>
        <w:tc>
          <w:tcPr>
            <w:tcW w:w="867"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1604</w:t>
            </w:r>
          </w:p>
        </w:tc>
        <w:tc>
          <w:tcPr>
            <w:tcW w:w="683"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0013</w:t>
            </w:r>
          </w:p>
        </w:tc>
        <w:tc>
          <w:tcPr>
            <w:tcW w:w="778"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425</w:t>
            </w:r>
          </w:p>
        </w:tc>
        <w:tc>
          <w:tcPr>
            <w:tcW w:w="1887" w:type="dxa"/>
            <w:tcBorders>
              <w:left w:val="single" w:color="000000" w:sz="4" w:space="0"/>
              <w:bottom w:val="single" w:color="000000" w:sz="4" w:space="0"/>
            </w:tcBorders>
            <w:shd w:val="clear" w:color="auto" w:fill="auto"/>
            <w:noWrap w:val="0"/>
            <w:vAlign w:val="bottom"/>
          </w:tcPr>
          <w:p>
            <w:pPr>
              <w:jc w:val="center"/>
            </w:pPr>
            <w:r>
              <w:rPr>
                <w:rFonts w:ascii="Arial" w:hAnsi="Arial" w:eastAsia="Arial" w:cs="Arial"/>
                <w:sz w:val="16"/>
                <w:szCs w:val="16"/>
              </w:rPr>
              <w:t xml:space="preserve"> </w:t>
            </w:r>
            <w:r>
              <w:rPr>
                <w:rFonts w:ascii="Arial" w:hAnsi="Arial" w:cs="Arial"/>
                <w:sz w:val="16"/>
                <w:szCs w:val="16"/>
              </w:rPr>
              <w:t>Текуће поправке и одржавање</w:t>
            </w:r>
          </w:p>
        </w:tc>
        <w:tc>
          <w:tcPr>
            <w:tcW w:w="1856"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lang w:val="sr-Latn-RS"/>
              </w:rPr>
              <w:t>45.000,00</w:t>
            </w:r>
          </w:p>
        </w:tc>
        <w:tc>
          <w:tcPr>
            <w:tcW w:w="1331" w:type="dxa"/>
            <w:tcBorders>
              <w:left w:val="single" w:color="000000" w:sz="4" w:space="0"/>
              <w:bottom w:val="single" w:color="000000" w:sz="4" w:space="0"/>
              <w:right w:val="single" w:color="000000" w:sz="4" w:space="0"/>
            </w:tcBorders>
            <w:shd w:val="clear" w:color="auto" w:fill="auto"/>
            <w:noWrap w:val="0"/>
            <w:vAlign w:val="bottom"/>
          </w:tcPr>
          <w:p>
            <w:pPr>
              <w:jc w:val="right"/>
            </w:pPr>
            <w:r>
              <w:rPr>
                <w:rFonts w:ascii="Arial" w:hAnsi="Arial" w:cs="Arial"/>
                <w:sz w:val="16"/>
                <w:szCs w:val="16"/>
                <w:lang w:val="sr-Latn-RS"/>
              </w:rPr>
              <w:t>41.171,00</w:t>
            </w:r>
          </w:p>
        </w:tc>
      </w:tr>
      <w:tr>
        <w:tblPrEx>
          <w:tblCellMar>
            <w:top w:w="0" w:type="dxa"/>
            <w:left w:w="108" w:type="dxa"/>
            <w:bottom w:w="0" w:type="dxa"/>
            <w:right w:w="108" w:type="dxa"/>
          </w:tblCellMar>
        </w:tblPrEx>
        <w:trPr>
          <w:trHeight w:val="328" w:hRule="atLeast"/>
        </w:trPr>
        <w:tc>
          <w:tcPr>
            <w:tcW w:w="651" w:type="dxa"/>
            <w:tcBorders>
              <w:left w:val="single" w:color="000000" w:sz="8" w:space="0"/>
            </w:tcBorders>
            <w:shd w:val="clear" w:color="auto" w:fill="auto"/>
            <w:noWrap w:val="0"/>
            <w:vAlign w:val="bottom"/>
          </w:tcPr>
          <w:p>
            <w:pPr>
              <w:jc w:val="right"/>
            </w:pPr>
            <w:r>
              <w:rPr>
                <w:rFonts w:ascii="Arial" w:hAnsi="Arial" w:cs="Arial"/>
                <w:sz w:val="16"/>
                <w:szCs w:val="16"/>
              </w:rPr>
              <w:t>330</w:t>
            </w:r>
          </w:p>
        </w:tc>
        <w:tc>
          <w:tcPr>
            <w:tcW w:w="664" w:type="dxa"/>
            <w:tcBorders>
              <w:left w:val="single" w:color="000000" w:sz="4" w:space="0"/>
            </w:tcBorders>
            <w:shd w:val="clear" w:color="auto" w:fill="auto"/>
            <w:noWrap w:val="0"/>
            <w:vAlign w:val="bottom"/>
          </w:tcPr>
          <w:p>
            <w:pPr>
              <w:jc w:val="right"/>
            </w:pPr>
            <w:r>
              <w:rPr>
                <w:rFonts w:ascii="Arial" w:hAnsi="Arial" w:cs="Arial"/>
                <w:sz w:val="16"/>
                <w:szCs w:val="16"/>
              </w:rPr>
              <w:t>01</w:t>
            </w:r>
          </w:p>
        </w:tc>
        <w:tc>
          <w:tcPr>
            <w:tcW w:w="867" w:type="dxa"/>
            <w:tcBorders>
              <w:left w:val="single" w:color="000000" w:sz="4" w:space="0"/>
            </w:tcBorders>
            <w:shd w:val="clear" w:color="auto" w:fill="auto"/>
            <w:noWrap w:val="0"/>
            <w:vAlign w:val="bottom"/>
          </w:tcPr>
          <w:p>
            <w:pPr>
              <w:jc w:val="right"/>
            </w:pPr>
            <w:r>
              <w:rPr>
                <w:rFonts w:ascii="Arial" w:hAnsi="Arial" w:cs="Arial"/>
                <w:sz w:val="16"/>
                <w:szCs w:val="16"/>
              </w:rPr>
              <w:t>1604</w:t>
            </w:r>
          </w:p>
        </w:tc>
        <w:tc>
          <w:tcPr>
            <w:tcW w:w="683" w:type="dxa"/>
            <w:tcBorders>
              <w:left w:val="single" w:color="000000" w:sz="4" w:space="0"/>
            </w:tcBorders>
            <w:shd w:val="clear" w:color="auto" w:fill="auto"/>
            <w:noWrap w:val="0"/>
            <w:vAlign w:val="bottom"/>
          </w:tcPr>
          <w:p>
            <w:pPr>
              <w:jc w:val="right"/>
            </w:pPr>
            <w:r>
              <w:rPr>
                <w:rFonts w:ascii="Arial" w:hAnsi="Arial" w:cs="Arial"/>
                <w:sz w:val="16"/>
                <w:szCs w:val="16"/>
              </w:rPr>
              <w:t>0013</w:t>
            </w:r>
          </w:p>
        </w:tc>
        <w:tc>
          <w:tcPr>
            <w:tcW w:w="778" w:type="dxa"/>
            <w:tcBorders>
              <w:left w:val="single" w:color="000000" w:sz="4" w:space="0"/>
            </w:tcBorders>
            <w:shd w:val="clear" w:color="auto" w:fill="auto"/>
            <w:noWrap w:val="0"/>
            <w:vAlign w:val="bottom"/>
          </w:tcPr>
          <w:p>
            <w:pPr>
              <w:jc w:val="right"/>
            </w:pPr>
            <w:r>
              <w:rPr>
                <w:rFonts w:ascii="Arial" w:hAnsi="Arial" w:cs="Arial"/>
                <w:sz w:val="16"/>
                <w:szCs w:val="16"/>
              </w:rPr>
              <w:t>426</w:t>
            </w:r>
          </w:p>
        </w:tc>
        <w:tc>
          <w:tcPr>
            <w:tcW w:w="1887" w:type="dxa"/>
            <w:tcBorders>
              <w:left w:val="single" w:color="000000" w:sz="4" w:space="0"/>
            </w:tcBorders>
            <w:shd w:val="clear" w:color="auto" w:fill="auto"/>
            <w:noWrap w:val="0"/>
            <w:vAlign w:val="bottom"/>
          </w:tcPr>
          <w:p>
            <w:pPr>
              <w:jc w:val="center"/>
            </w:pPr>
            <w:r>
              <w:rPr>
                <w:rFonts w:ascii="Arial" w:hAnsi="Arial" w:cs="Arial"/>
                <w:sz w:val="16"/>
                <w:szCs w:val="16"/>
              </w:rPr>
              <w:t>Материјал</w:t>
            </w:r>
          </w:p>
        </w:tc>
        <w:tc>
          <w:tcPr>
            <w:tcW w:w="1856" w:type="dxa"/>
            <w:tcBorders>
              <w:left w:val="single" w:color="000000" w:sz="4" w:space="0"/>
            </w:tcBorders>
            <w:shd w:val="clear" w:color="auto" w:fill="auto"/>
            <w:noWrap w:val="0"/>
            <w:vAlign w:val="bottom"/>
          </w:tcPr>
          <w:p>
            <w:pPr>
              <w:jc w:val="right"/>
            </w:pPr>
            <w:r>
              <w:rPr>
                <w:rFonts w:ascii="Arial" w:hAnsi="Arial" w:cs="Arial"/>
                <w:sz w:val="16"/>
                <w:szCs w:val="16"/>
                <w:lang w:val="sr-Latn-RS"/>
              </w:rPr>
              <w:t>240.000.00</w:t>
            </w:r>
          </w:p>
        </w:tc>
        <w:tc>
          <w:tcPr>
            <w:tcW w:w="1331" w:type="dxa"/>
            <w:tcBorders>
              <w:left w:val="single" w:color="000000" w:sz="4" w:space="0"/>
              <w:right w:val="single" w:color="000000" w:sz="4" w:space="0"/>
            </w:tcBorders>
            <w:shd w:val="clear" w:color="auto" w:fill="auto"/>
            <w:noWrap w:val="0"/>
            <w:vAlign w:val="bottom"/>
          </w:tcPr>
          <w:p>
            <w:pPr>
              <w:jc w:val="right"/>
            </w:pPr>
            <w:r>
              <w:rPr>
                <w:rFonts w:ascii="Arial" w:hAnsi="Arial" w:cs="Arial"/>
                <w:sz w:val="16"/>
                <w:szCs w:val="16"/>
                <w:lang w:val="sr-Latn-RS"/>
              </w:rPr>
              <w:t>189.637,00</w:t>
            </w:r>
          </w:p>
        </w:tc>
      </w:tr>
      <w:tr>
        <w:tblPrEx>
          <w:tblCellMar>
            <w:top w:w="0" w:type="dxa"/>
            <w:left w:w="108" w:type="dxa"/>
            <w:bottom w:w="0" w:type="dxa"/>
            <w:right w:w="108" w:type="dxa"/>
          </w:tblCellMar>
        </w:tblPrEx>
        <w:trPr>
          <w:trHeight w:val="465" w:hRule="atLeast"/>
        </w:trPr>
        <w:tc>
          <w:tcPr>
            <w:tcW w:w="651" w:type="dxa"/>
            <w:tcBorders>
              <w:top w:val="single" w:color="000000" w:sz="4" w:space="0"/>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330</w:t>
            </w:r>
          </w:p>
        </w:tc>
        <w:tc>
          <w:tcPr>
            <w:tcW w:w="664" w:type="dxa"/>
            <w:tcBorders>
              <w:top w:val="single" w:color="000000" w:sz="4" w:space="0"/>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01</w:t>
            </w:r>
          </w:p>
        </w:tc>
        <w:tc>
          <w:tcPr>
            <w:tcW w:w="867" w:type="dxa"/>
            <w:tcBorders>
              <w:top w:val="single" w:color="000000" w:sz="4" w:space="0"/>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1604</w:t>
            </w:r>
          </w:p>
        </w:tc>
        <w:tc>
          <w:tcPr>
            <w:tcW w:w="683" w:type="dxa"/>
            <w:tcBorders>
              <w:top w:val="single" w:color="000000" w:sz="4" w:space="0"/>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0013</w:t>
            </w:r>
          </w:p>
        </w:tc>
        <w:tc>
          <w:tcPr>
            <w:tcW w:w="778" w:type="dxa"/>
            <w:tcBorders>
              <w:top w:val="single" w:color="000000" w:sz="4" w:space="0"/>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482</w:t>
            </w:r>
          </w:p>
        </w:tc>
        <w:tc>
          <w:tcPr>
            <w:tcW w:w="1887" w:type="dxa"/>
            <w:tcBorders>
              <w:top w:val="single" w:color="000000" w:sz="4" w:space="0"/>
              <w:left w:val="single" w:color="000000" w:sz="4" w:space="0"/>
              <w:bottom w:val="single" w:color="000000" w:sz="4" w:space="0"/>
            </w:tcBorders>
            <w:shd w:val="clear" w:color="auto" w:fill="auto"/>
            <w:noWrap w:val="0"/>
            <w:vAlign w:val="bottom"/>
          </w:tcPr>
          <w:p>
            <w:pPr>
              <w:jc w:val="center"/>
            </w:pPr>
            <w:r>
              <w:rPr>
                <w:rFonts w:ascii="Arial" w:hAnsi="Arial" w:cs="Arial"/>
                <w:sz w:val="16"/>
                <w:szCs w:val="16"/>
              </w:rPr>
              <w:t>Порези, обавезе, таксе</w:t>
            </w:r>
          </w:p>
        </w:tc>
        <w:tc>
          <w:tcPr>
            <w:tcW w:w="1856" w:type="dxa"/>
            <w:tcBorders>
              <w:top w:val="single" w:color="000000" w:sz="4" w:space="0"/>
              <w:left w:val="single" w:color="000000" w:sz="4" w:space="0"/>
              <w:bottom w:val="single" w:color="000000" w:sz="4" w:space="0"/>
            </w:tcBorders>
            <w:shd w:val="clear" w:color="auto" w:fill="auto"/>
            <w:noWrap w:val="0"/>
            <w:vAlign w:val="bottom"/>
          </w:tcPr>
          <w:p>
            <w:pPr>
              <w:jc w:val="right"/>
            </w:pPr>
            <w:r>
              <w:rPr>
                <w:rFonts w:ascii="Arial" w:hAnsi="Arial" w:cs="Arial"/>
                <w:sz w:val="16"/>
                <w:szCs w:val="16"/>
                <w:lang w:val="sr-Latn-RS"/>
              </w:rPr>
              <w:t>22.000.00</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jc w:val="right"/>
            </w:pPr>
            <w:r>
              <w:rPr>
                <w:rFonts w:ascii="Arial" w:hAnsi="Arial" w:cs="Arial"/>
                <w:sz w:val="16"/>
                <w:szCs w:val="16"/>
                <w:lang w:val="sr-Latn-RS"/>
              </w:rPr>
              <w:t>21.225,00</w:t>
            </w:r>
          </w:p>
        </w:tc>
      </w:tr>
      <w:tr>
        <w:tblPrEx>
          <w:tblCellMar>
            <w:top w:w="0" w:type="dxa"/>
            <w:left w:w="108" w:type="dxa"/>
            <w:bottom w:w="0" w:type="dxa"/>
            <w:right w:w="108" w:type="dxa"/>
          </w:tblCellMar>
        </w:tblPrEx>
        <w:trPr>
          <w:trHeight w:val="500" w:hRule="atLeast"/>
        </w:trPr>
        <w:tc>
          <w:tcPr>
            <w:tcW w:w="651" w:type="dxa"/>
            <w:tcBorders>
              <w:left w:val="single" w:color="000000" w:sz="8" w:space="0"/>
              <w:bottom w:val="single" w:color="000000" w:sz="8" w:space="0"/>
            </w:tcBorders>
            <w:shd w:val="clear" w:color="auto" w:fill="auto"/>
            <w:noWrap w:val="0"/>
            <w:vAlign w:val="bottom"/>
          </w:tcPr>
          <w:p>
            <w:pPr>
              <w:jc w:val="right"/>
            </w:pPr>
            <w:r>
              <w:rPr>
                <w:rFonts w:ascii="Arial" w:hAnsi="Arial" w:cs="Arial"/>
                <w:sz w:val="16"/>
                <w:szCs w:val="16"/>
              </w:rPr>
              <w:t>330</w:t>
            </w:r>
          </w:p>
        </w:tc>
        <w:tc>
          <w:tcPr>
            <w:tcW w:w="664" w:type="dxa"/>
            <w:tcBorders>
              <w:bottom w:val="single" w:color="000000" w:sz="8" w:space="0"/>
            </w:tcBorders>
            <w:shd w:val="clear" w:color="auto" w:fill="auto"/>
            <w:noWrap w:val="0"/>
            <w:vAlign w:val="bottom"/>
          </w:tcPr>
          <w:p>
            <w:pPr>
              <w:jc w:val="right"/>
            </w:pPr>
            <w:r>
              <w:rPr>
                <w:rFonts w:ascii="Arial" w:hAnsi="Arial" w:cs="Arial"/>
                <w:sz w:val="16"/>
                <w:szCs w:val="16"/>
              </w:rPr>
              <w:t>01</w:t>
            </w:r>
          </w:p>
        </w:tc>
        <w:tc>
          <w:tcPr>
            <w:tcW w:w="867" w:type="dxa"/>
            <w:tcBorders>
              <w:bottom w:val="single" w:color="000000" w:sz="8" w:space="0"/>
            </w:tcBorders>
            <w:shd w:val="clear" w:color="auto" w:fill="auto"/>
            <w:noWrap w:val="0"/>
            <w:vAlign w:val="bottom"/>
          </w:tcPr>
          <w:p>
            <w:pPr>
              <w:jc w:val="right"/>
            </w:pPr>
            <w:r>
              <w:rPr>
                <w:rFonts w:ascii="Arial" w:hAnsi="Arial" w:cs="Arial"/>
                <w:sz w:val="16"/>
                <w:szCs w:val="16"/>
              </w:rPr>
              <w:t>1604</w:t>
            </w:r>
          </w:p>
        </w:tc>
        <w:tc>
          <w:tcPr>
            <w:tcW w:w="683" w:type="dxa"/>
            <w:tcBorders>
              <w:bottom w:val="single" w:color="000000" w:sz="8" w:space="0"/>
            </w:tcBorders>
            <w:shd w:val="clear" w:color="auto" w:fill="auto"/>
            <w:noWrap w:val="0"/>
            <w:vAlign w:val="bottom"/>
          </w:tcPr>
          <w:p>
            <w:pPr>
              <w:jc w:val="right"/>
            </w:pPr>
            <w:r>
              <w:rPr>
                <w:rFonts w:ascii="Arial" w:hAnsi="Arial" w:cs="Arial"/>
                <w:sz w:val="16"/>
                <w:szCs w:val="16"/>
              </w:rPr>
              <w:t>0013</w:t>
            </w:r>
          </w:p>
        </w:tc>
        <w:tc>
          <w:tcPr>
            <w:tcW w:w="778" w:type="dxa"/>
            <w:tcBorders>
              <w:left w:val="single" w:color="000000" w:sz="4" w:space="0"/>
              <w:bottom w:val="single" w:color="000000" w:sz="8" w:space="0"/>
            </w:tcBorders>
            <w:shd w:val="clear" w:color="auto" w:fill="auto"/>
            <w:noWrap w:val="0"/>
            <w:vAlign w:val="bottom"/>
          </w:tcPr>
          <w:p>
            <w:pPr>
              <w:jc w:val="right"/>
            </w:pPr>
            <w:r>
              <w:rPr>
                <w:rFonts w:ascii="Arial" w:hAnsi="Arial" w:cs="Arial"/>
                <w:sz w:val="16"/>
                <w:szCs w:val="16"/>
              </w:rPr>
              <w:t>483</w:t>
            </w:r>
          </w:p>
        </w:tc>
        <w:tc>
          <w:tcPr>
            <w:tcW w:w="1887" w:type="dxa"/>
            <w:tcBorders>
              <w:left w:val="single" w:color="000000" w:sz="4" w:space="0"/>
              <w:bottom w:val="single" w:color="000000" w:sz="8" w:space="0"/>
            </w:tcBorders>
            <w:shd w:val="clear" w:color="auto" w:fill="auto"/>
            <w:noWrap w:val="0"/>
            <w:vAlign w:val="bottom"/>
          </w:tcPr>
          <w:p>
            <w:pPr>
              <w:jc w:val="center"/>
            </w:pPr>
            <w:r>
              <w:rPr>
                <w:rFonts w:ascii="Arial" w:hAnsi="Arial" w:cs="Arial"/>
                <w:sz w:val="16"/>
                <w:szCs w:val="16"/>
              </w:rPr>
              <w:t>Новчане казне и пенали по решењу</w:t>
            </w:r>
          </w:p>
        </w:tc>
        <w:tc>
          <w:tcPr>
            <w:tcW w:w="1856" w:type="dxa"/>
            <w:tcBorders>
              <w:left w:val="single" w:color="000000" w:sz="4" w:space="0"/>
              <w:bottom w:val="single" w:color="000000" w:sz="8" w:space="0"/>
            </w:tcBorders>
            <w:shd w:val="clear" w:color="auto" w:fill="auto"/>
            <w:noWrap w:val="0"/>
            <w:vAlign w:val="bottom"/>
          </w:tcPr>
          <w:p>
            <w:pPr>
              <w:jc w:val="right"/>
            </w:pPr>
            <w:r>
              <w:rPr>
                <w:rFonts w:ascii="Arial" w:hAnsi="Arial" w:cs="Arial"/>
                <w:sz w:val="16"/>
                <w:szCs w:val="16"/>
                <w:lang w:val="sr-Latn-RS"/>
              </w:rPr>
              <w:t>136.500,00</w:t>
            </w:r>
          </w:p>
        </w:tc>
        <w:tc>
          <w:tcPr>
            <w:tcW w:w="1331" w:type="dxa"/>
            <w:tcBorders>
              <w:left w:val="single" w:color="000000" w:sz="4" w:space="0"/>
              <w:bottom w:val="single" w:color="000000" w:sz="8" w:space="0"/>
              <w:right w:val="single" w:color="000000" w:sz="4" w:space="0"/>
            </w:tcBorders>
            <w:shd w:val="clear" w:color="auto" w:fill="auto"/>
            <w:noWrap w:val="0"/>
            <w:vAlign w:val="bottom"/>
          </w:tcPr>
          <w:p>
            <w:pPr>
              <w:jc w:val="right"/>
            </w:pPr>
            <w:r>
              <w:rPr>
                <w:rFonts w:ascii="Arial" w:hAnsi="Arial" w:cs="Arial"/>
                <w:sz w:val="16"/>
                <w:szCs w:val="16"/>
                <w:lang w:val="sr-Latn-RS"/>
              </w:rPr>
              <w:t>134.929</w:t>
            </w:r>
            <w:r>
              <w:rPr>
                <w:rFonts w:ascii="Arial" w:hAnsi="Arial" w:cs="Arial"/>
                <w:sz w:val="16"/>
                <w:szCs w:val="16"/>
              </w:rPr>
              <w:t>,00</w:t>
            </w:r>
          </w:p>
        </w:tc>
      </w:tr>
    </w:tbl>
    <w:p>
      <w:pPr>
        <w:jc w:val="both"/>
        <w:rPr>
          <w:sz w:val="16"/>
          <w:szCs w:val="16"/>
          <w:lang w:val="sr-Latn-RS"/>
        </w:rPr>
      </w:pPr>
    </w:p>
    <w:p>
      <w:pPr>
        <w:jc w:val="both"/>
        <w:rPr>
          <w:sz w:val="16"/>
          <w:szCs w:val="16"/>
          <w:lang w:val="sr-Latn-RS"/>
        </w:rPr>
      </w:pPr>
    </w:p>
    <w:p>
      <w:pPr>
        <w:jc w:val="right"/>
        <w:rPr>
          <w:i/>
          <w:sz w:val="16"/>
          <w:szCs w:val="16"/>
          <w:lang w:val="sr-Latn-RS"/>
        </w:rPr>
      </w:pPr>
    </w:p>
    <w:p>
      <w:pPr>
        <w:jc w:val="right"/>
        <w:rPr>
          <w:i/>
          <w:sz w:val="16"/>
          <w:szCs w:val="16"/>
          <w:lang w:val="sr-Latn-RS"/>
        </w:rPr>
      </w:pPr>
    </w:p>
    <w:p>
      <w:pPr>
        <w:jc w:val="both"/>
        <w:rPr>
          <w:i/>
          <w:sz w:val="16"/>
          <w:szCs w:val="16"/>
          <w:lang w:val="sr-Latn-RS"/>
        </w:rPr>
      </w:pPr>
    </w:p>
    <w:tbl>
      <w:tblPr>
        <w:tblStyle w:val="3"/>
        <w:tblW w:w="8716" w:type="dxa"/>
        <w:tblInd w:w="73" w:type="dxa"/>
        <w:tblLayout w:type="fixed"/>
        <w:tblCellMar>
          <w:top w:w="0" w:type="dxa"/>
          <w:left w:w="108" w:type="dxa"/>
          <w:bottom w:w="0" w:type="dxa"/>
          <w:right w:w="108" w:type="dxa"/>
        </w:tblCellMar>
      </w:tblPr>
      <w:tblGrid>
        <w:gridCol w:w="680"/>
        <w:gridCol w:w="618"/>
        <w:gridCol w:w="792"/>
        <w:gridCol w:w="627"/>
        <w:gridCol w:w="712"/>
        <w:gridCol w:w="1688"/>
        <w:gridCol w:w="1905"/>
        <w:gridCol w:w="1694"/>
      </w:tblGrid>
      <w:tr>
        <w:tblPrEx>
          <w:tblCellMar>
            <w:top w:w="0" w:type="dxa"/>
            <w:left w:w="108" w:type="dxa"/>
            <w:bottom w:w="0" w:type="dxa"/>
            <w:right w:w="108" w:type="dxa"/>
          </w:tblCellMar>
        </w:tblPrEx>
        <w:trPr>
          <w:trHeight w:val="573" w:hRule="atLeast"/>
        </w:trPr>
        <w:tc>
          <w:tcPr>
            <w:tcW w:w="680" w:type="dxa"/>
            <w:tcBorders>
              <w:top w:val="single" w:color="000000" w:sz="8" w:space="0"/>
              <w:left w:val="single" w:color="000000" w:sz="8" w:space="0"/>
              <w:bottom w:val="single" w:color="000000" w:sz="4" w:space="0"/>
            </w:tcBorders>
            <w:shd w:val="clear" w:color="auto" w:fill="auto"/>
            <w:noWrap w:val="0"/>
            <w:vAlign w:val="bottom"/>
          </w:tcPr>
          <w:p>
            <w:pPr>
              <w:jc w:val="right"/>
            </w:pPr>
            <w:r>
              <w:rPr>
                <w:rFonts w:ascii="Arial" w:hAnsi="Arial" w:cs="Arial"/>
                <w:b/>
                <w:sz w:val="16"/>
                <w:szCs w:val="16"/>
              </w:rPr>
              <w:t>Функ</w:t>
            </w:r>
          </w:p>
        </w:tc>
        <w:tc>
          <w:tcPr>
            <w:tcW w:w="618" w:type="dxa"/>
            <w:tcBorders>
              <w:top w:val="single" w:color="000000" w:sz="8" w:space="0"/>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Извор</w:t>
            </w:r>
          </w:p>
        </w:tc>
        <w:tc>
          <w:tcPr>
            <w:tcW w:w="792" w:type="dxa"/>
            <w:tcBorders>
              <w:top w:val="single" w:color="000000" w:sz="8" w:space="0"/>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Програм</w:t>
            </w:r>
          </w:p>
        </w:tc>
        <w:tc>
          <w:tcPr>
            <w:tcW w:w="627" w:type="dxa"/>
            <w:tcBorders>
              <w:top w:val="single" w:color="000000" w:sz="8" w:space="0"/>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Проје.</w:t>
            </w:r>
          </w:p>
        </w:tc>
        <w:tc>
          <w:tcPr>
            <w:tcW w:w="712" w:type="dxa"/>
            <w:tcBorders>
              <w:top w:val="single" w:color="000000" w:sz="8" w:space="0"/>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Ек.клас</w:t>
            </w:r>
          </w:p>
        </w:tc>
        <w:tc>
          <w:tcPr>
            <w:tcW w:w="1688" w:type="dxa"/>
            <w:tcBorders>
              <w:top w:val="single" w:color="000000" w:sz="8" w:space="0"/>
              <w:left w:val="single" w:color="000000" w:sz="4" w:space="0"/>
              <w:bottom w:val="single" w:color="000000" w:sz="4" w:space="0"/>
            </w:tcBorders>
            <w:shd w:val="clear" w:color="auto" w:fill="auto"/>
            <w:noWrap w:val="0"/>
            <w:vAlign w:val="bottom"/>
          </w:tcPr>
          <w:p>
            <w:pPr>
              <w:jc w:val="center"/>
            </w:pPr>
            <w:r>
              <w:rPr>
                <w:rFonts w:ascii="Arial" w:hAnsi="Arial" w:cs="Arial"/>
                <w:sz w:val="16"/>
                <w:szCs w:val="16"/>
              </w:rPr>
              <w:t>Опис конта</w:t>
            </w:r>
          </w:p>
        </w:tc>
        <w:tc>
          <w:tcPr>
            <w:tcW w:w="1905" w:type="dxa"/>
            <w:tcBorders>
              <w:top w:val="single" w:color="000000" w:sz="8" w:space="0"/>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Сред.одобрена за 20</w:t>
            </w:r>
            <w:r>
              <w:rPr>
                <w:rFonts w:ascii="Arial" w:hAnsi="Arial" w:cs="Arial"/>
                <w:sz w:val="16"/>
                <w:szCs w:val="16"/>
                <w:lang w:val="en-GB"/>
              </w:rPr>
              <w:t>22</w:t>
            </w:r>
            <w:r>
              <w:rPr>
                <w:rFonts w:ascii="Arial" w:hAnsi="Arial" w:cs="Arial"/>
                <w:sz w:val="16"/>
                <w:szCs w:val="16"/>
              </w:rPr>
              <w:t>.год Законм о буџету</w:t>
            </w:r>
          </w:p>
        </w:tc>
        <w:tc>
          <w:tcPr>
            <w:tcW w:w="1694" w:type="dxa"/>
            <w:tcBorders>
              <w:top w:val="single" w:color="000000" w:sz="8" w:space="0"/>
              <w:left w:val="single" w:color="000000" w:sz="4" w:space="0"/>
              <w:bottom w:val="single" w:color="000000" w:sz="4" w:space="0"/>
              <w:right w:val="single" w:color="000000" w:sz="4" w:space="0"/>
            </w:tcBorders>
            <w:shd w:val="clear" w:color="auto" w:fill="auto"/>
            <w:noWrap w:val="0"/>
            <w:vAlign w:val="bottom"/>
          </w:tcPr>
          <w:p>
            <w:pPr>
              <w:jc w:val="right"/>
            </w:pPr>
            <w:r>
              <w:rPr>
                <w:rFonts w:ascii="Arial" w:hAnsi="Arial" w:cs="Arial"/>
                <w:sz w:val="16"/>
                <w:szCs w:val="16"/>
              </w:rPr>
              <w:t xml:space="preserve">Реализација до </w:t>
            </w:r>
            <w:r>
              <w:rPr>
                <w:rFonts w:ascii="Arial" w:hAnsi="Arial" w:cs="Arial"/>
                <w:sz w:val="16"/>
                <w:szCs w:val="16"/>
                <w:lang w:val="en-GB"/>
              </w:rPr>
              <w:t>31.12.20222</w:t>
            </w:r>
          </w:p>
        </w:tc>
      </w:tr>
      <w:tr>
        <w:tblPrEx>
          <w:tblCellMar>
            <w:top w:w="0" w:type="dxa"/>
            <w:left w:w="108" w:type="dxa"/>
            <w:bottom w:w="0" w:type="dxa"/>
            <w:right w:w="108" w:type="dxa"/>
          </w:tblCellMar>
        </w:tblPrEx>
        <w:trPr>
          <w:trHeight w:val="276" w:hRule="atLeast"/>
        </w:trPr>
        <w:tc>
          <w:tcPr>
            <w:tcW w:w="680" w:type="dxa"/>
            <w:tcBorders>
              <w:top w:val="single" w:color="000000" w:sz="8" w:space="0"/>
              <w:left w:val="single" w:color="000000" w:sz="8" w:space="0"/>
              <w:bottom w:val="single" w:color="000000" w:sz="4" w:space="0"/>
            </w:tcBorders>
            <w:shd w:val="clear" w:color="auto" w:fill="auto"/>
            <w:noWrap w:val="0"/>
            <w:vAlign w:val="bottom"/>
          </w:tcPr>
          <w:p>
            <w:pPr>
              <w:jc w:val="right"/>
            </w:pPr>
            <w:r>
              <w:rPr>
                <w:rFonts w:ascii="Arial" w:hAnsi="Arial" w:cs="Arial"/>
                <w:sz w:val="16"/>
                <w:szCs w:val="16"/>
              </w:rPr>
              <w:t>330</w:t>
            </w:r>
          </w:p>
        </w:tc>
        <w:tc>
          <w:tcPr>
            <w:tcW w:w="618" w:type="dxa"/>
            <w:tcBorders>
              <w:top w:val="single" w:color="000000" w:sz="8" w:space="0"/>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01</w:t>
            </w:r>
          </w:p>
        </w:tc>
        <w:tc>
          <w:tcPr>
            <w:tcW w:w="792" w:type="dxa"/>
            <w:tcBorders>
              <w:top w:val="single" w:color="000000" w:sz="8" w:space="0"/>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1604</w:t>
            </w:r>
          </w:p>
        </w:tc>
        <w:tc>
          <w:tcPr>
            <w:tcW w:w="627" w:type="dxa"/>
            <w:tcBorders>
              <w:top w:val="single" w:color="000000" w:sz="8" w:space="0"/>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0014</w:t>
            </w:r>
          </w:p>
        </w:tc>
        <w:tc>
          <w:tcPr>
            <w:tcW w:w="712" w:type="dxa"/>
            <w:tcBorders>
              <w:top w:val="single" w:color="000000" w:sz="8" w:space="0"/>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411</w:t>
            </w:r>
          </w:p>
        </w:tc>
        <w:tc>
          <w:tcPr>
            <w:tcW w:w="1688" w:type="dxa"/>
            <w:tcBorders>
              <w:top w:val="single" w:color="000000" w:sz="8" w:space="0"/>
              <w:left w:val="single" w:color="000000" w:sz="4" w:space="0"/>
              <w:bottom w:val="single" w:color="000000" w:sz="4" w:space="0"/>
            </w:tcBorders>
            <w:shd w:val="clear" w:color="auto" w:fill="auto"/>
            <w:noWrap w:val="0"/>
            <w:vAlign w:val="bottom"/>
          </w:tcPr>
          <w:p>
            <w:pPr>
              <w:jc w:val="center"/>
            </w:pPr>
            <w:r>
              <w:rPr>
                <w:rFonts w:ascii="Arial" w:hAnsi="Arial" w:cs="Arial"/>
                <w:sz w:val="16"/>
                <w:szCs w:val="16"/>
              </w:rPr>
              <w:t>Плате и додаци</w:t>
            </w:r>
          </w:p>
        </w:tc>
        <w:tc>
          <w:tcPr>
            <w:tcW w:w="1905" w:type="dxa"/>
            <w:tcBorders>
              <w:top w:val="single" w:color="000000" w:sz="8" w:space="0"/>
              <w:left w:val="single" w:color="000000" w:sz="4" w:space="0"/>
              <w:bottom w:val="single" w:color="000000" w:sz="4" w:space="0"/>
            </w:tcBorders>
            <w:shd w:val="clear" w:color="auto" w:fill="auto"/>
            <w:noWrap w:val="0"/>
            <w:vAlign w:val="bottom"/>
          </w:tcPr>
          <w:p>
            <w:pPr>
              <w:jc w:val="right"/>
            </w:pPr>
            <w:r>
              <w:rPr>
                <w:rFonts w:ascii="Arial" w:hAnsi="Arial" w:cs="Arial"/>
                <w:sz w:val="16"/>
                <w:szCs w:val="16"/>
                <w:lang w:val="sr-Latn-RS"/>
              </w:rPr>
              <w:t>5.215.680,00</w:t>
            </w:r>
          </w:p>
        </w:tc>
        <w:tc>
          <w:tcPr>
            <w:tcW w:w="1694" w:type="dxa"/>
            <w:tcBorders>
              <w:top w:val="single" w:color="000000" w:sz="8" w:space="0"/>
              <w:left w:val="single" w:color="000000" w:sz="4" w:space="0"/>
              <w:bottom w:val="single" w:color="000000" w:sz="4" w:space="0"/>
              <w:right w:val="single" w:color="000000" w:sz="4" w:space="0"/>
            </w:tcBorders>
            <w:shd w:val="clear" w:color="auto" w:fill="auto"/>
            <w:noWrap w:val="0"/>
            <w:vAlign w:val="bottom"/>
          </w:tcPr>
          <w:p>
            <w:pPr>
              <w:jc w:val="right"/>
            </w:pPr>
            <w:r>
              <w:rPr>
                <w:rFonts w:ascii="Arial" w:hAnsi="Arial" w:cs="Arial"/>
                <w:sz w:val="16"/>
                <w:szCs w:val="16"/>
                <w:lang w:val="sr-Latn-RS"/>
              </w:rPr>
              <w:t>5.244.740,00</w:t>
            </w:r>
          </w:p>
        </w:tc>
      </w:tr>
      <w:tr>
        <w:tblPrEx>
          <w:tblCellMar>
            <w:top w:w="0" w:type="dxa"/>
            <w:left w:w="108" w:type="dxa"/>
            <w:bottom w:w="0" w:type="dxa"/>
            <w:right w:w="108" w:type="dxa"/>
          </w:tblCellMar>
        </w:tblPrEx>
        <w:trPr>
          <w:trHeight w:val="430" w:hRule="atLeast"/>
        </w:trPr>
        <w:tc>
          <w:tcPr>
            <w:tcW w:w="680" w:type="dxa"/>
            <w:tcBorders>
              <w:left w:val="single" w:color="000000" w:sz="8" w:space="0"/>
              <w:bottom w:val="single" w:color="000000" w:sz="4" w:space="0"/>
            </w:tcBorders>
            <w:shd w:val="clear" w:color="auto" w:fill="auto"/>
            <w:noWrap w:val="0"/>
            <w:vAlign w:val="bottom"/>
          </w:tcPr>
          <w:p>
            <w:pPr>
              <w:jc w:val="right"/>
            </w:pPr>
            <w:r>
              <w:rPr>
                <w:rFonts w:ascii="Arial" w:hAnsi="Arial" w:cs="Arial"/>
                <w:sz w:val="16"/>
                <w:szCs w:val="16"/>
              </w:rPr>
              <w:t>330</w:t>
            </w:r>
          </w:p>
        </w:tc>
        <w:tc>
          <w:tcPr>
            <w:tcW w:w="618"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01</w:t>
            </w:r>
          </w:p>
        </w:tc>
        <w:tc>
          <w:tcPr>
            <w:tcW w:w="792"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1604</w:t>
            </w:r>
          </w:p>
        </w:tc>
        <w:tc>
          <w:tcPr>
            <w:tcW w:w="627"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0014</w:t>
            </w:r>
          </w:p>
        </w:tc>
        <w:tc>
          <w:tcPr>
            <w:tcW w:w="712"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412</w:t>
            </w:r>
          </w:p>
        </w:tc>
        <w:tc>
          <w:tcPr>
            <w:tcW w:w="1688" w:type="dxa"/>
            <w:tcBorders>
              <w:left w:val="single" w:color="000000" w:sz="4" w:space="0"/>
              <w:bottom w:val="single" w:color="000000" w:sz="4" w:space="0"/>
            </w:tcBorders>
            <w:shd w:val="clear" w:color="auto" w:fill="auto"/>
            <w:noWrap w:val="0"/>
            <w:vAlign w:val="bottom"/>
          </w:tcPr>
          <w:p>
            <w:pPr>
              <w:jc w:val="center"/>
            </w:pPr>
            <w:r>
              <w:rPr>
                <w:rFonts w:ascii="Arial" w:hAnsi="Arial" w:cs="Arial"/>
                <w:sz w:val="16"/>
                <w:szCs w:val="16"/>
              </w:rPr>
              <w:t>Соц.доп.на терет посл.</w:t>
            </w:r>
          </w:p>
        </w:tc>
        <w:tc>
          <w:tcPr>
            <w:tcW w:w="1905"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lang w:val="sr-Latn-RS"/>
              </w:rPr>
              <w:t>842.190</w:t>
            </w:r>
            <w:r>
              <w:rPr>
                <w:rFonts w:ascii="Arial" w:hAnsi="Arial" w:cs="Arial"/>
                <w:sz w:val="16"/>
                <w:szCs w:val="16"/>
              </w:rPr>
              <w:t>,00</w:t>
            </w:r>
          </w:p>
        </w:tc>
        <w:tc>
          <w:tcPr>
            <w:tcW w:w="1694" w:type="dxa"/>
            <w:tcBorders>
              <w:left w:val="single" w:color="000000" w:sz="4" w:space="0"/>
              <w:bottom w:val="single" w:color="000000" w:sz="4" w:space="0"/>
              <w:right w:val="single" w:color="000000" w:sz="4" w:space="0"/>
            </w:tcBorders>
            <w:shd w:val="clear" w:color="auto" w:fill="auto"/>
            <w:noWrap w:val="0"/>
            <w:vAlign w:val="bottom"/>
          </w:tcPr>
          <w:p>
            <w:pPr>
              <w:jc w:val="right"/>
            </w:pPr>
            <w:r>
              <w:rPr>
                <w:rFonts w:ascii="Arial" w:hAnsi="Arial" w:cs="Arial"/>
                <w:sz w:val="16"/>
                <w:szCs w:val="16"/>
                <w:lang w:val="sr-Latn-RS"/>
              </w:rPr>
              <w:t>842.180,57</w:t>
            </w:r>
          </w:p>
        </w:tc>
      </w:tr>
      <w:tr>
        <w:tblPrEx>
          <w:tblCellMar>
            <w:top w:w="0" w:type="dxa"/>
            <w:left w:w="108" w:type="dxa"/>
            <w:bottom w:w="0" w:type="dxa"/>
            <w:right w:w="108" w:type="dxa"/>
          </w:tblCellMar>
        </w:tblPrEx>
        <w:trPr>
          <w:trHeight w:val="241" w:hRule="atLeast"/>
        </w:trPr>
        <w:tc>
          <w:tcPr>
            <w:tcW w:w="680" w:type="dxa"/>
            <w:tcBorders>
              <w:left w:val="single" w:color="000000" w:sz="8" w:space="0"/>
              <w:bottom w:val="single" w:color="000000" w:sz="4" w:space="0"/>
            </w:tcBorders>
            <w:shd w:val="clear" w:color="auto" w:fill="auto"/>
            <w:noWrap w:val="0"/>
            <w:vAlign w:val="bottom"/>
          </w:tcPr>
          <w:p>
            <w:pPr>
              <w:jc w:val="right"/>
            </w:pPr>
            <w:r>
              <w:rPr>
                <w:rFonts w:ascii="Arial" w:hAnsi="Arial" w:cs="Arial"/>
                <w:sz w:val="16"/>
                <w:szCs w:val="16"/>
              </w:rPr>
              <w:t>330</w:t>
            </w:r>
          </w:p>
        </w:tc>
        <w:tc>
          <w:tcPr>
            <w:tcW w:w="618"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01</w:t>
            </w:r>
          </w:p>
        </w:tc>
        <w:tc>
          <w:tcPr>
            <w:tcW w:w="792"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1604</w:t>
            </w:r>
          </w:p>
        </w:tc>
        <w:tc>
          <w:tcPr>
            <w:tcW w:w="627"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0014</w:t>
            </w:r>
          </w:p>
        </w:tc>
        <w:tc>
          <w:tcPr>
            <w:tcW w:w="712"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413</w:t>
            </w:r>
          </w:p>
        </w:tc>
        <w:tc>
          <w:tcPr>
            <w:tcW w:w="1688" w:type="dxa"/>
            <w:tcBorders>
              <w:left w:val="single" w:color="000000" w:sz="4" w:space="0"/>
              <w:bottom w:val="single" w:color="000000" w:sz="4" w:space="0"/>
            </w:tcBorders>
            <w:shd w:val="clear" w:color="auto" w:fill="auto"/>
            <w:noWrap w:val="0"/>
            <w:vAlign w:val="bottom"/>
          </w:tcPr>
          <w:p>
            <w:pPr>
              <w:jc w:val="center"/>
            </w:pPr>
            <w:r>
              <w:rPr>
                <w:rFonts w:ascii="Arial" w:hAnsi="Arial" w:cs="Arial"/>
                <w:sz w:val="16"/>
                <w:szCs w:val="16"/>
              </w:rPr>
              <w:t>Накнаде у натури</w:t>
            </w:r>
          </w:p>
        </w:tc>
        <w:tc>
          <w:tcPr>
            <w:tcW w:w="1905"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lang w:val="sr-Latn-RS"/>
              </w:rPr>
              <w:t>12</w:t>
            </w:r>
            <w:r>
              <w:rPr>
                <w:rFonts w:ascii="Arial" w:hAnsi="Arial" w:cs="Arial"/>
                <w:sz w:val="16"/>
                <w:szCs w:val="16"/>
              </w:rPr>
              <w:t>.000,00</w:t>
            </w:r>
          </w:p>
        </w:tc>
        <w:tc>
          <w:tcPr>
            <w:tcW w:w="1694" w:type="dxa"/>
            <w:tcBorders>
              <w:left w:val="single" w:color="000000" w:sz="4" w:space="0"/>
              <w:bottom w:val="single" w:color="000000" w:sz="4" w:space="0"/>
              <w:right w:val="single" w:color="000000" w:sz="4" w:space="0"/>
            </w:tcBorders>
            <w:shd w:val="clear" w:color="auto" w:fill="auto"/>
            <w:noWrap w:val="0"/>
            <w:vAlign w:val="bottom"/>
          </w:tcPr>
          <w:p>
            <w:pPr>
              <w:jc w:val="right"/>
            </w:pPr>
            <w:r>
              <w:rPr>
                <w:rFonts w:ascii="Arial" w:hAnsi="Arial" w:cs="Arial"/>
                <w:sz w:val="16"/>
                <w:szCs w:val="16"/>
                <w:lang w:val="sr-Latn-RS"/>
              </w:rPr>
              <w:t>12</w:t>
            </w:r>
            <w:r>
              <w:rPr>
                <w:rFonts w:ascii="Arial" w:hAnsi="Arial" w:cs="Arial"/>
                <w:sz w:val="16"/>
                <w:szCs w:val="16"/>
              </w:rPr>
              <w:t>.000,</w:t>
            </w:r>
            <w:r>
              <w:rPr>
                <w:rFonts w:ascii="Arial" w:hAnsi="Arial" w:cs="Arial"/>
                <w:sz w:val="16"/>
                <w:szCs w:val="16"/>
                <w:lang w:val="en-GB"/>
              </w:rPr>
              <w:t>,</w:t>
            </w:r>
            <w:r>
              <w:rPr>
                <w:rFonts w:ascii="Arial" w:hAnsi="Arial" w:cs="Arial"/>
                <w:sz w:val="16"/>
                <w:szCs w:val="16"/>
              </w:rPr>
              <w:t>00</w:t>
            </w:r>
          </w:p>
        </w:tc>
      </w:tr>
      <w:tr>
        <w:tblPrEx>
          <w:tblCellMar>
            <w:top w:w="0" w:type="dxa"/>
            <w:left w:w="108" w:type="dxa"/>
            <w:bottom w:w="0" w:type="dxa"/>
            <w:right w:w="108" w:type="dxa"/>
          </w:tblCellMar>
        </w:tblPrEx>
        <w:trPr>
          <w:trHeight w:val="266" w:hRule="atLeast"/>
        </w:trPr>
        <w:tc>
          <w:tcPr>
            <w:tcW w:w="680" w:type="dxa"/>
            <w:tcBorders>
              <w:left w:val="single" w:color="000000" w:sz="8" w:space="0"/>
              <w:bottom w:val="single" w:color="000000" w:sz="4" w:space="0"/>
            </w:tcBorders>
            <w:shd w:val="clear" w:color="auto" w:fill="auto"/>
            <w:noWrap w:val="0"/>
            <w:vAlign w:val="bottom"/>
          </w:tcPr>
          <w:p>
            <w:pPr>
              <w:jc w:val="right"/>
            </w:pPr>
            <w:r>
              <w:rPr>
                <w:rFonts w:ascii="Arial" w:hAnsi="Arial" w:cs="Arial"/>
                <w:sz w:val="16"/>
                <w:szCs w:val="16"/>
              </w:rPr>
              <w:t>330</w:t>
            </w:r>
          </w:p>
        </w:tc>
        <w:tc>
          <w:tcPr>
            <w:tcW w:w="618"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04</w:t>
            </w:r>
          </w:p>
        </w:tc>
        <w:tc>
          <w:tcPr>
            <w:tcW w:w="792"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1604</w:t>
            </w:r>
          </w:p>
        </w:tc>
        <w:tc>
          <w:tcPr>
            <w:tcW w:w="627"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0014</w:t>
            </w:r>
          </w:p>
        </w:tc>
        <w:tc>
          <w:tcPr>
            <w:tcW w:w="712"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414</w:t>
            </w:r>
          </w:p>
        </w:tc>
        <w:tc>
          <w:tcPr>
            <w:tcW w:w="1688" w:type="dxa"/>
            <w:tcBorders>
              <w:left w:val="single" w:color="000000" w:sz="4" w:space="0"/>
              <w:bottom w:val="single" w:color="000000" w:sz="4" w:space="0"/>
            </w:tcBorders>
            <w:shd w:val="clear" w:color="auto" w:fill="auto"/>
            <w:noWrap w:val="0"/>
            <w:vAlign w:val="bottom"/>
          </w:tcPr>
          <w:p>
            <w:pPr>
              <w:jc w:val="center"/>
            </w:pPr>
            <w:r>
              <w:rPr>
                <w:rFonts w:ascii="Arial" w:hAnsi="Arial" w:cs="Arial"/>
                <w:sz w:val="16"/>
                <w:szCs w:val="16"/>
              </w:rPr>
              <w:t>Соц.давања</w:t>
            </w:r>
          </w:p>
        </w:tc>
        <w:tc>
          <w:tcPr>
            <w:tcW w:w="1905"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lang w:val="en-GB"/>
              </w:rPr>
              <w:t>44.591,00</w:t>
            </w:r>
          </w:p>
        </w:tc>
        <w:tc>
          <w:tcPr>
            <w:tcW w:w="1694" w:type="dxa"/>
            <w:tcBorders>
              <w:left w:val="single" w:color="000000" w:sz="4" w:space="0"/>
              <w:bottom w:val="single" w:color="000000" w:sz="4" w:space="0"/>
              <w:right w:val="single" w:color="000000" w:sz="4" w:space="0"/>
            </w:tcBorders>
            <w:shd w:val="clear" w:color="auto" w:fill="auto"/>
            <w:noWrap w:val="0"/>
            <w:vAlign w:val="bottom"/>
          </w:tcPr>
          <w:p>
            <w:pPr>
              <w:jc w:val="right"/>
            </w:pPr>
            <w:r>
              <w:rPr>
                <w:rFonts w:ascii="Arial" w:hAnsi="Arial" w:cs="Arial"/>
                <w:sz w:val="16"/>
                <w:szCs w:val="16"/>
                <w:lang w:val="en-GB"/>
              </w:rPr>
              <w:t>44.591,00</w:t>
            </w:r>
          </w:p>
        </w:tc>
      </w:tr>
      <w:tr>
        <w:tblPrEx>
          <w:tblCellMar>
            <w:top w:w="0" w:type="dxa"/>
            <w:left w:w="108" w:type="dxa"/>
            <w:bottom w:w="0" w:type="dxa"/>
            <w:right w:w="108" w:type="dxa"/>
          </w:tblCellMar>
        </w:tblPrEx>
        <w:trPr>
          <w:trHeight w:val="296" w:hRule="atLeast"/>
        </w:trPr>
        <w:tc>
          <w:tcPr>
            <w:tcW w:w="680" w:type="dxa"/>
            <w:tcBorders>
              <w:left w:val="single" w:color="000000" w:sz="8" w:space="0"/>
              <w:bottom w:val="single" w:color="000000" w:sz="4" w:space="0"/>
            </w:tcBorders>
            <w:shd w:val="clear" w:color="auto" w:fill="auto"/>
            <w:noWrap w:val="0"/>
            <w:vAlign w:val="bottom"/>
          </w:tcPr>
          <w:p>
            <w:pPr>
              <w:jc w:val="right"/>
            </w:pPr>
            <w:r>
              <w:rPr>
                <w:rFonts w:ascii="Arial" w:hAnsi="Arial" w:cs="Arial"/>
                <w:sz w:val="16"/>
                <w:szCs w:val="16"/>
              </w:rPr>
              <w:t>330</w:t>
            </w:r>
          </w:p>
        </w:tc>
        <w:tc>
          <w:tcPr>
            <w:tcW w:w="618"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01</w:t>
            </w:r>
          </w:p>
        </w:tc>
        <w:tc>
          <w:tcPr>
            <w:tcW w:w="792"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1604</w:t>
            </w:r>
          </w:p>
        </w:tc>
        <w:tc>
          <w:tcPr>
            <w:tcW w:w="627"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0014</w:t>
            </w:r>
          </w:p>
        </w:tc>
        <w:tc>
          <w:tcPr>
            <w:tcW w:w="712"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415</w:t>
            </w:r>
          </w:p>
        </w:tc>
        <w:tc>
          <w:tcPr>
            <w:tcW w:w="1688" w:type="dxa"/>
            <w:tcBorders>
              <w:left w:val="single" w:color="000000" w:sz="4" w:space="0"/>
              <w:bottom w:val="single" w:color="000000" w:sz="4" w:space="0"/>
            </w:tcBorders>
            <w:shd w:val="clear" w:color="auto" w:fill="auto"/>
            <w:noWrap w:val="0"/>
            <w:vAlign w:val="bottom"/>
          </w:tcPr>
          <w:p>
            <w:pPr>
              <w:jc w:val="center"/>
            </w:pPr>
            <w:r>
              <w:rPr>
                <w:rFonts w:ascii="Arial" w:hAnsi="Arial" w:cs="Arial"/>
                <w:sz w:val="16"/>
                <w:szCs w:val="16"/>
              </w:rPr>
              <w:t>Накн.тр.запосл</w:t>
            </w:r>
          </w:p>
        </w:tc>
        <w:tc>
          <w:tcPr>
            <w:tcW w:w="1905" w:type="dxa"/>
            <w:tcBorders>
              <w:left w:val="single" w:color="000000" w:sz="4" w:space="0"/>
              <w:bottom w:val="single" w:color="000000" w:sz="4" w:space="0"/>
            </w:tcBorders>
            <w:shd w:val="clear" w:color="auto" w:fill="auto"/>
            <w:noWrap w:val="0"/>
            <w:vAlign w:val="bottom"/>
          </w:tcPr>
          <w:p>
            <w:pPr>
              <w:jc w:val="right"/>
            </w:pPr>
            <w:r>
              <w:rPr>
                <w:rFonts w:ascii="Arial" w:hAnsi="Arial" w:eastAsia="Arial" w:cs="Arial"/>
                <w:sz w:val="16"/>
                <w:szCs w:val="16"/>
              </w:rPr>
              <w:t xml:space="preserve">                </w:t>
            </w:r>
            <w:r>
              <w:rPr>
                <w:rFonts w:ascii="Arial" w:hAnsi="Arial" w:eastAsia="Arial" w:cs="Arial"/>
                <w:sz w:val="16"/>
                <w:szCs w:val="16"/>
                <w:lang w:val="en-GB"/>
              </w:rPr>
              <w:t>310.000,00</w:t>
            </w:r>
          </w:p>
        </w:tc>
        <w:tc>
          <w:tcPr>
            <w:tcW w:w="1694" w:type="dxa"/>
            <w:tcBorders>
              <w:left w:val="single" w:color="000000" w:sz="4" w:space="0"/>
              <w:bottom w:val="single" w:color="000000" w:sz="4" w:space="0"/>
              <w:right w:val="single" w:color="000000" w:sz="4" w:space="0"/>
            </w:tcBorders>
            <w:shd w:val="clear" w:color="auto" w:fill="auto"/>
            <w:noWrap w:val="0"/>
            <w:vAlign w:val="bottom"/>
          </w:tcPr>
          <w:p>
            <w:pPr>
              <w:jc w:val="right"/>
            </w:pPr>
            <w:r>
              <w:rPr>
                <w:rFonts w:ascii="Arial" w:hAnsi="Arial" w:cs="Arial"/>
                <w:sz w:val="16"/>
                <w:szCs w:val="16"/>
                <w:lang w:val="en-GB"/>
              </w:rPr>
              <w:t>307.279,00</w:t>
            </w:r>
          </w:p>
        </w:tc>
      </w:tr>
      <w:tr>
        <w:tblPrEx>
          <w:tblCellMar>
            <w:top w:w="0" w:type="dxa"/>
            <w:left w:w="108" w:type="dxa"/>
            <w:bottom w:w="0" w:type="dxa"/>
            <w:right w:w="108" w:type="dxa"/>
          </w:tblCellMar>
        </w:tblPrEx>
        <w:trPr>
          <w:trHeight w:val="266" w:hRule="atLeast"/>
        </w:trPr>
        <w:tc>
          <w:tcPr>
            <w:tcW w:w="680" w:type="dxa"/>
            <w:tcBorders>
              <w:left w:val="single" w:color="000000" w:sz="8" w:space="0"/>
              <w:bottom w:val="single" w:color="000000" w:sz="4" w:space="0"/>
            </w:tcBorders>
            <w:shd w:val="clear" w:color="auto" w:fill="auto"/>
            <w:noWrap w:val="0"/>
            <w:vAlign w:val="bottom"/>
          </w:tcPr>
          <w:p>
            <w:pPr>
              <w:jc w:val="right"/>
            </w:pPr>
            <w:r>
              <w:rPr>
                <w:rFonts w:ascii="Arial" w:hAnsi="Arial" w:cs="Arial"/>
                <w:sz w:val="16"/>
                <w:szCs w:val="16"/>
              </w:rPr>
              <w:t>330</w:t>
            </w:r>
          </w:p>
        </w:tc>
        <w:tc>
          <w:tcPr>
            <w:tcW w:w="618"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04</w:t>
            </w:r>
          </w:p>
        </w:tc>
        <w:tc>
          <w:tcPr>
            <w:tcW w:w="792"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1604</w:t>
            </w:r>
          </w:p>
        </w:tc>
        <w:tc>
          <w:tcPr>
            <w:tcW w:w="627"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0014</w:t>
            </w:r>
          </w:p>
        </w:tc>
        <w:tc>
          <w:tcPr>
            <w:tcW w:w="712"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415</w:t>
            </w:r>
          </w:p>
        </w:tc>
        <w:tc>
          <w:tcPr>
            <w:tcW w:w="1688" w:type="dxa"/>
            <w:tcBorders>
              <w:left w:val="single" w:color="000000" w:sz="4" w:space="0"/>
              <w:bottom w:val="single" w:color="000000" w:sz="4" w:space="0"/>
            </w:tcBorders>
            <w:shd w:val="clear" w:color="auto" w:fill="auto"/>
            <w:noWrap w:val="0"/>
            <w:vAlign w:val="bottom"/>
          </w:tcPr>
          <w:p>
            <w:pPr>
              <w:jc w:val="center"/>
            </w:pPr>
            <w:r>
              <w:rPr>
                <w:rFonts w:ascii="Arial" w:hAnsi="Arial" w:cs="Arial"/>
                <w:sz w:val="16"/>
                <w:szCs w:val="16"/>
              </w:rPr>
              <w:t>Накн.тр.запосл.</w:t>
            </w:r>
          </w:p>
        </w:tc>
        <w:tc>
          <w:tcPr>
            <w:tcW w:w="1905"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0,00</w:t>
            </w:r>
          </w:p>
        </w:tc>
        <w:tc>
          <w:tcPr>
            <w:tcW w:w="1694" w:type="dxa"/>
            <w:tcBorders>
              <w:left w:val="single" w:color="000000" w:sz="4" w:space="0"/>
              <w:bottom w:val="single" w:color="000000" w:sz="4" w:space="0"/>
              <w:right w:val="single" w:color="000000" w:sz="4" w:space="0"/>
            </w:tcBorders>
            <w:shd w:val="clear" w:color="auto" w:fill="auto"/>
            <w:noWrap w:val="0"/>
            <w:vAlign w:val="bottom"/>
          </w:tcPr>
          <w:p>
            <w:pPr>
              <w:jc w:val="right"/>
            </w:pPr>
            <w:r>
              <w:rPr>
                <w:rFonts w:ascii="Arial" w:hAnsi="Arial" w:cs="Arial"/>
                <w:sz w:val="16"/>
                <w:szCs w:val="16"/>
              </w:rPr>
              <w:t>0.00</w:t>
            </w:r>
          </w:p>
        </w:tc>
      </w:tr>
      <w:tr>
        <w:tblPrEx>
          <w:tblCellMar>
            <w:top w:w="0" w:type="dxa"/>
            <w:left w:w="108" w:type="dxa"/>
            <w:bottom w:w="0" w:type="dxa"/>
            <w:right w:w="108" w:type="dxa"/>
          </w:tblCellMar>
        </w:tblPrEx>
        <w:trPr>
          <w:trHeight w:val="291" w:hRule="atLeast"/>
        </w:trPr>
        <w:tc>
          <w:tcPr>
            <w:tcW w:w="680" w:type="dxa"/>
            <w:tcBorders>
              <w:left w:val="single" w:color="000000" w:sz="8" w:space="0"/>
              <w:bottom w:val="single" w:color="000000" w:sz="4" w:space="0"/>
            </w:tcBorders>
            <w:shd w:val="clear" w:color="auto" w:fill="auto"/>
            <w:noWrap w:val="0"/>
            <w:vAlign w:val="bottom"/>
          </w:tcPr>
          <w:p>
            <w:pPr>
              <w:jc w:val="right"/>
            </w:pPr>
            <w:r>
              <w:rPr>
                <w:rFonts w:ascii="Arial" w:hAnsi="Arial" w:cs="Arial"/>
                <w:sz w:val="16"/>
                <w:szCs w:val="16"/>
              </w:rPr>
              <w:t>330</w:t>
            </w:r>
          </w:p>
        </w:tc>
        <w:tc>
          <w:tcPr>
            <w:tcW w:w="618"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13</w:t>
            </w:r>
          </w:p>
        </w:tc>
        <w:tc>
          <w:tcPr>
            <w:tcW w:w="792"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1604</w:t>
            </w:r>
          </w:p>
        </w:tc>
        <w:tc>
          <w:tcPr>
            <w:tcW w:w="627"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0014</w:t>
            </w:r>
          </w:p>
        </w:tc>
        <w:tc>
          <w:tcPr>
            <w:tcW w:w="712"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415</w:t>
            </w:r>
          </w:p>
        </w:tc>
        <w:tc>
          <w:tcPr>
            <w:tcW w:w="1688" w:type="dxa"/>
            <w:tcBorders>
              <w:left w:val="single" w:color="000000" w:sz="4" w:space="0"/>
              <w:bottom w:val="single" w:color="000000" w:sz="4" w:space="0"/>
            </w:tcBorders>
            <w:shd w:val="clear" w:color="auto" w:fill="auto"/>
            <w:noWrap w:val="0"/>
            <w:vAlign w:val="bottom"/>
          </w:tcPr>
          <w:p>
            <w:pPr>
              <w:jc w:val="center"/>
            </w:pPr>
            <w:r>
              <w:rPr>
                <w:rFonts w:ascii="Arial" w:hAnsi="Arial" w:cs="Arial"/>
                <w:sz w:val="16"/>
                <w:szCs w:val="16"/>
              </w:rPr>
              <w:t>Накн.тр.запосл.</w:t>
            </w:r>
          </w:p>
        </w:tc>
        <w:tc>
          <w:tcPr>
            <w:tcW w:w="1905"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0.00</w:t>
            </w:r>
          </w:p>
        </w:tc>
        <w:tc>
          <w:tcPr>
            <w:tcW w:w="1694" w:type="dxa"/>
            <w:tcBorders>
              <w:left w:val="single" w:color="000000" w:sz="4" w:space="0"/>
              <w:bottom w:val="single" w:color="000000" w:sz="4" w:space="0"/>
              <w:right w:val="single" w:color="000000" w:sz="4" w:space="0"/>
            </w:tcBorders>
            <w:shd w:val="clear" w:color="auto" w:fill="auto"/>
            <w:noWrap w:val="0"/>
            <w:vAlign w:val="bottom"/>
          </w:tcPr>
          <w:p>
            <w:pPr>
              <w:jc w:val="right"/>
            </w:pPr>
            <w:r>
              <w:rPr>
                <w:rFonts w:ascii="Arial" w:hAnsi="Arial" w:cs="Arial"/>
                <w:sz w:val="16"/>
                <w:szCs w:val="16"/>
              </w:rPr>
              <w:t>0.00</w:t>
            </w:r>
          </w:p>
        </w:tc>
      </w:tr>
      <w:tr>
        <w:tblPrEx>
          <w:tblCellMar>
            <w:top w:w="0" w:type="dxa"/>
            <w:left w:w="108" w:type="dxa"/>
            <w:bottom w:w="0" w:type="dxa"/>
            <w:right w:w="108" w:type="dxa"/>
          </w:tblCellMar>
        </w:tblPrEx>
        <w:trPr>
          <w:trHeight w:val="236" w:hRule="atLeast"/>
        </w:trPr>
        <w:tc>
          <w:tcPr>
            <w:tcW w:w="680" w:type="dxa"/>
            <w:tcBorders>
              <w:left w:val="single" w:color="000000" w:sz="8" w:space="0"/>
              <w:bottom w:val="single" w:color="000000" w:sz="4" w:space="0"/>
            </w:tcBorders>
            <w:shd w:val="clear" w:color="auto" w:fill="auto"/>
            <w:noWrap w:val="0"/>
            <w:vAlign w:val="bottom"/>
          </w:tcPr>
          <w:p>
            <w:pPr>
              <w:jc w:val="right"/>
            </w:pPr>
            <w:r>
              <w:rPr>
                <w:rFonts w:ascii="Arial" w:hAnsi="Arial" w:cs="Arial"/>
                <w:sz w:val="16"/>
                <w:szCs w:val="16"/>
              </w:rPr>
              <w:t>330</w:t>
            </w:r>
          </w:p>
        </w:tc>
        <w:tc>
          <w:tcPr>
            <w:tcW w:w="618"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04</w:t>
            </w:r>
          </w:p>
        </w:tc>
        <w:tc>
          <w:tcPr>
            <w:tcW w:w="792"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1604</w:t>
            </w:r>
          </w:p>
        </w:tc>
        <w:tc>
          <w:tcPr>
            <w:tcW w:w="627"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0014</w:t>
            </w:r>
          </w:p>
        </w:tc>
        <w:tc>
          <w:tcPr>
            <w:tcW w:w="712"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rPr>
              <w:t>416</w:t>
            </w:r>
          </w:p>
        </w:tc>
        <w:tc>
          <w:tcPr>
            <w:tcW w:w="1688" w:type="dxa"/>
            <w:tcBorders>
              <w:left w:val="single" w:color="000000" w:sz="4" w:space="0"/>
              <w:bottom w:val="single" w:color="000000" w:sz="4" w:space="0"/>
            </w:tcBorders>
            <w:shd w:val="clear" w:color="auto" w:fill="auto"/>
            <w:noWrap w:val="0"/>
            <w:vAlign w:val="bottom"/>
          </w:tcPr>
          <w:p>
            <w:pPr>
              <w:jc w:val="center"/>
            </w:pPr>
            <w:r>
              <w:rPr>
                <w:rFonts w:ascii="Arial" w:hAnsi="Arial" w:cs="Arial"/>
                <w:sz w:val="16"/>
                <w:szCs w:val="16"/>
              </w:rPr>
              <w:t>Јубилрне награде</w:t>
            </w:r>
          </w:p>
        </w:tc>
        <w:tc>
          <w:tcPr>
            <w:tcW w:w="1905" w:type="dxa"/>
            <w:tcBorders>
              <w:left w:val="single" w:color="000000" w:sz="4" w:space="0"/>
              <w:bottom w:val="single" w:color="000000" w:sz="4" w:space="0"/>
            </w:tcBorders>
            <w:shd w:val="clear" w:color="auto" w:fill="auto"/>
            <w:noWrap w:val="0"/>
            <w:vAlign w:val="bottom"/>
          </w:tcPr>
          <w:p>
            <w:pPr>
              <w:jc w:val="right"/>
            </w:pPr>
            <w:r>
              <w:rPr>
                <w:rFonts w:ascii="Arial" w:hAnsi="Arial" w:cs="Arial"/>
                <w:sz w:val="16"/>
                <w:szCs w:val="16"/>
                <w:lang w:val="en-GB"/>
              </w:rPr>
              <w:t>0</w:t>
            </w:r>
            <w:r>
              <w:rPr>
                <w:rFonts w:ascii="Arial" w:hAnsi="Arial" w:cs="Arial"/>
                <w:sz w:val="16"/>
                <w:szCs w:val="16"/>
              </w:rPr>
              <w:t>,00</w:t>
            </w:r>
          </w:p>
        </w:tc>
        <w:tc>
          <w:tcPr>
            <w:tcW w:w="1694" w:type="dxa"/>
            <w:tcBorders>
              <w:left w:val="single" w:color="000000" w:sz="4" w:space="0"/>
              <w:bottom w:val="single" w:color="000000" w:sz="4" w:space="0"/>
              <w:right w:val="single" w:color="000000" w:sz="4" w:space="0"/>
            </w:tcBorders>
            <w:shd w:val="clear" w:color="auto" w:fill="auto"/>
            <w:noWrap w:val="0"/>
            <w:vAlign w:val="bottom"/>
          </w:tcPr>
          <w:p>
            <w:pPr>
              <w:jc w:val="right"/>
            </w:pPr>
            <w:r>
              <w:rPr>
                <w:rFonts w:ascii="Arial" w:hAnsi="Arial" w:cs="Arial"/>
                <w:sz w:val="16"/>
                <w:szCs w:val="16"/>
                <w:lang w:val="en-GB"/>
              </w:rPr>
              <w:t>0</w:t>
            </w:r>
            <w:r>
              <w:rPr>
                <w:rFonts w:ascii="Arial" w:hAnsi="Arial" w:cs="Arial"/>
                <w:sz w:val="16"/>
                <w:szCs w:val="16"/>
              </w:rPr>
              <w:t>,00</w:t>
            </w:r>
          </w:p>
        </w:tc>
      </w:tr>
      <w:tr>
        <w:tblPrEx>
          <w:tblCellMar>
            <w:top w:w="0" w:type="dxa"/>
            <w:left w:w="108" w:type="dxa"/>
            <w:bottom w:w="0" w:type="dxa"/>
            <w:right w:w="108" w:type="dxa"/>
          </w:tblCellMar>
        </w:tblPrEx>
        <w:trPr>
          <w:trHeight w:val="266" w:hRule="atLeast"/>
        </w:trPr>
        <w:tc>
          <w:tcPr>
            <w:tcW w:w="680" w:type="dxa"/>
            <w:tcBorders>
              <w:left w:val="single" w:color="000000" w:sz="8" w:space="0"/>
            </w:tcBorders>
            <w:shd w:val="clear" w:color="auto" w:fill="auto"/>
            <w:noWrap w:val="0"/>
            <w:vAlign w:val="bottom"/>
          </w:tcPr>
          <w:p>
            <w:pPr>
              <w:jc w:val="right"/>
            </w:pPr>
            <w:r>
              <w:rPr>
                <w:rFonts w:ascii="Arial" w:hAnsi="Arial" w:cs="Arial"/>
                <w:sz w:val="16"/>
                <w:szCs w:val="16"/>
              </w:rPr>
              <w:t>330</w:t>
            </w:r>
          </w:p>
        </w:tc>
        <w:tc>
          <w:tcPr>
            <w:tcW w:w="618" w:type="dxa"/>
            <w:tcBorders>
              <w:left w:val="single" w:color="000000" w:sz="4" w:space="0"/>
            </w:tcBorders>
            <w:shd w:val="clear" w:color="auto" w:fill="auto"/>
            <w:noWrap w:val="0"/>
            <w:vAlign w:val="bottom"/>
          </w:tcPr>
          <w:p>
            <w:pPr>
              <w:jc w:val="right"/>
            </w:pPr>
            <w:r>
              <w:rPr>
                <w:rFonts w:ascii="Arial" w:hAnsi="Arial" w:cs="Arial"/>
                <w:sz w:val="16"/>
                <w:szCs w:val="16"/>
              </w:rPr>
              <w:t>13</w:t>
            </w:r>
          </w:p>
        </w:tc>
        <w:tc>
          <w:tcPr>
            <w:tcW w:w="792" w:type="dxa"/>
            <w:tcBorders>
              <w:left w:val="single" w:color="000000" w:sz="4" w:space="0"/>
            </w:tcBorders>
            <w:shd w:val="clear" w:color="auto" w:fill="auto"/>
            <w:noWrap w:val="0"/>
            <w:vAlign w:val="bottom"/>
          </w:tcPr>
          <w:p>
            <w:pPr>
              <w:jc w:val="right"/>
            </w:pPr>
            <w:r>
              <w:rPr>
                <w:rFonts w:ascii="Arial" w:hAnsi="Arial" w:cs="Arial"/>
                <w:sz w:val="16"/>
                <w:szCs w:val="16"/>
              </w:rPr>
              <w:t>1604</w:t>
            </w:r>
          </w:p>
        </w:tc>
        <w:tc>
          <w:tcPr>
            <w:tcW w:w="627" w:type="dxa"/>
            <w:tcBorders>
              <w:left w:val="single" w:color="000000" w:sz="4" w:space="0"/>
            </w:tcBorders>
            <w:shd w:val="clear" w:color="auto" w:fill="auto"/>
            <w:noWrap w:val="0"/>
            <w:vAlign w:val="bottom"/>
          </w:tcPr>
          <w:p>
            <w:pPr>
              <w:jc w:val="right"/>
            </w:pPr>
            <w:r>
              <w:rPr>
                <w:rFonts w:ascii="Arial" w:hAnsi="Arial" w:cs="Arial"/>
                <w:sz w:val="16"/>
                <w:szCs w:val="16"/>
              </w:rPr>
              <w:t>0014</w:t>
            </w:r>
          </w:p>
        </w:tc>
        <w:tc>
          <w:tcPr>
            <w:tcW w:w="712" w:type="dxa"/>
            <w:tcBorders>
              <w:left w:val="single" w:color="000000" w:sz="4" w:space="0"/>
            </w:tcBorders>
            <w:shd w:val="clear" w:color="auto" w:fill="auto"/>
            <w:noWrap w:val="0"/>
            <w:vAlign w:val="bottom"/>
          </w:tcPr>
          <w:p>
            <w:pPr>
              <w:jc w:val="right"/>
            </w:pPr>
            <w:r>
              <w:rPr>
                <w:rFonts w:ascii="Arial" w:hAnsi="Arial" w:cs="Arial"/>
                <w:sz w:val="16"/>
                <w:szCs w:val="16"/>
              </w:rPr>
              <w:t>413</w:t>
            </w:r>
          </w:p>
        </w:tc>
        <w:tc>
          <w:tcPr>
            <w:tcW w:w="1688" w:type="dxa"/>
            <w:tcBorders>
              <w:left w:val="single" w:color="000000" w:sz="4" w:space="0"/>
            </w:tcBorders>
            <w:shd w:val="clear" w:color="auto" w:fill="auto"/>
            <w:noWrap w:val="0"/>
            <w:vAlign w:val="bottom"/>
          </w:tcPr>
          <w:p>
            <w:pPr>
              <w:jc w:val="center"/>
            </w:pPr>
            <w:r>
              <w:rPr>
                <w:rFonts w:ascii="Arial" w:hAnsi="Arial" w:cs="Arial"/>
                <w:sz w:val="16"/>
                <w:szCs w:val="16"/>
              </w:rPr>
              <w:t>Соц.давања</w:t>
            </w:r>
          </w:p>
        </w:tc>
        <w:tc>
          <w:tcPr>
            <w:tcW w:w="1905" w:type="dxa"/>
            <w:tcBorders>
              <w:left w:val="single" w:color="000000" w:sz="4" w:space="0"/>
            </w:tcBorders>
            <w:shd w:val="clear" w:color="auto" w:fill="auto"/>
            <w:noWrap w:val="0"/>
            <w:vAlign w:val="bottom"/>
          </w:tcPr>
          <w:p>
            <w:pPr>
              <w:jc w:val="right"/>
            </w:pPr>
            <w:r>
              <w:rPr>
                <w:rFonts w:ascii="Arial" w:hAnsi="Arial" w:cs="Arial"/>
                <w:sz w:val="16"/>
                <w:szCs w:val="16"/>
                <w:lang w:val="en-GB"/>
              </w:rPr>
              <w:t>0</w:t>
            </w:r>
            <w:r>
              <w:rPr>
                <w:rFonts w:ascii="Arial" w:hAnsi="Arial" w:cs="Arial"/>
                <w:sz w:val="16"/>
                <w:szCs w:val="16"/>
              </w:rPr>
              <w:t>.00</w:t>
            </w:r>
          </w:p>
        </w:tc>
        <w:tc>
          <w:tcPr>
            <w:tcW w:w="1694" w:type="dxa"/>
            <w:tcBorders>
              <w:left w:val="single" w:color="000000" w:sz="4" w:space="0"/>
              <w:right w:val="single" w:color="000000" w:sz="4" w:space="0"/>
            </w:tcBorders>
            <w:shd w:val="clear" w:color="auto" w:fill="auto"/>
            <w:noWrap w:val="0"/>
            <w:vAlign w:val="bottom"/>
          </w:tcPr>
          <w:p>
            <w:pPr>
              <w:jc w:val="right"/>
            </w:pPr>
            <w:r>
              <w:rPr>
                <w:rFonts w:ascii="Arial" w:hAnsi="Arial" w:cs="Arial"/>
                <w:sz w:val="16"/>
                <w:szCs w:val="16"/>
                <w:lang w:val="en-GB"/>
              </w:rPr>
              <w:t>0</w:t>
            </w:r>
            <w:r>
              <w:rPr>
                <w:rFonts w:ascii="Arial" w:hAnsi="Arial" w:cs="Arial"/>
                <w:sz w:val="16"/>
                <w:szCs w:val="16"/>
              </w:rPr>
              <w:t>,00</w:t>
            </w:r>
          </w:p>
        </w:tc>
      </w:tr>
      <w:tr>
        <w:tblPrEx>
          <w:tblCellMar>
            <w:top w:w="0" w:type="dxa"/>
            <w:left w:w="108" w:type="dxa"/>
            <w:bottom w:w="0" w:type="dxa"/>
            <w:right w:w="108" w:type="dxa"/>
          </w:tblCellMar>
        </w:tblPrEx>
        <w:trPr>
          <w:trHeight w:val="301" w:hRule="atLeast"/>
        </w:trPr>
        <w:tc>
          <w:tcPr>
            <w:tcW w:w="680" w:type="dxa"/>
            <w:tcBorders>
              <w:top w:val="single" w:color="000000" w:sz="4" w:space="0"/>
              <w:left w:val="single" w:color="000000" w:sz="8" w:space="0"/>
              <w:bottom w:val="single" w:color="000000" w:sz="8" w:space="0"/>
            </w:tcBorders>
            <w:shd w:val="clear" w:color="auto" w:fill="auto"/>
            <w:noWrap w:val="0"/>
            <w:vAlign w:val="bottom"/>
          </w:tcPr>
          <w:p>
            <w:pPr>
              <w:jc w:val="right"/>
            </w:pPr>
            <w:r>
              <w:rPr>
                <w:rFonts w:ascii="Arial" w:hAnsi="Arial" w:cs="Arial"/>
                <w:sz w:val="16"/>
                <w:szCs w:val="16"/>
              </w:rPr>
              <w:t>330</w:t>
            </w:r>
          </w:p>
        </w:tc>
        <w:tc>
          <w:tcPr>
            <w:tcW w:w="618" w:type="dxa"/>
            <w:tcBorders>
              <w:top w:val="single" w:color="000000" w:sz="4" w:space="0"/>
              <w:left w:val="single" w:color="000000" w:sz="4" w:space="0"/>
              <w:bottom w:val="single" w:color="000000" w:sz="8" w:space="0"/>
            </w:tcBorders>
            <w:shd w:val="clear" w:color="auto" w:fill="auto"/>
            <w:noWrap w:val="0"/>
            <w:vAlign w:val="bottom"/>
          </w:tcPr>
          <w:p>
            <w:pPr>
              <w:jc w:val="right"/>
            </w:pPr>
            <w:r>
              <w:rPr>
                <w:rFonts w:ascii="Arial" w:hAnsi="Arial" w:cs="Arial"/>
                <w:sz w:val="16"/>
                <w:szCs w:val="16"/>
              </w:rPr>
              <w:t>01</w:t>
            </w:r>
          </w:p>
        </w:tc>
        <w:tc>
          <w:tcPr>
            <w:tcW w:w="792" w:type="dxa"/>
            <w:tcBorders>
              <w:top w:val="single" w:color="000000" w:sz="4" w:space="0"/>
              <w:left w:val="single" w:color="000000" w:sz="4" w:space="0"/>
              <w:bottom w:val="single" w:color="000000" w:sz="8" w:space="0"/>
            </w:tcBorders>
            <w:shd w:val="clear" w:color="auto" w:fill="auto"/>
            <w:noWrap w:val="0"/>
            <w:vAlign w:val="bottom"/>
          </w:tcPr>
          <w:p>
            <w:pPr>
              <w:jc w:val="right"/>
            </w:pPr>
            <w:r>
              <w:rPr>
                <w:rFonts w:ascii="Arial" w:hAnsi="Arial" w:cs="Arial"/>
                <w:sz w:val="16"/>
                <w:szCs w:val="16"/>
              </w:rPr>
              <w:t>1604</w:t>
            </w:r>
          </w:p>
        </w:tc>
        <w:tc>
          <w:tcPr>
            <w:tcW w:w="627" w:type="dxa"/>
            <w:tcBorders>
              <w:top w:val="single" w:color="000000" w:sz="4" w:space="0"/>
              <w:left w:val="single" w:color="000000" w:sz="4" w:space="0"/>
              <w:bottom w:val="single" w:color="000000" w:sz="8" w:space="0"/>
            </w:tcBorders>
            <w:shd w:val="clear" w:color="auto" w:fill="auto"/>
            <w:noWrap w:val="0"/>
            <w:vAlign w:val="bottom"/>
          </w:tcPr>
          <w:p>
            <w:pPr>
              <w:jc w:val="right"/>
            </w:pPr>
            <w:r>
              <w:rPr>
                <w:rFonts w:ascii="Arial" w:hAnsi="Arial" w:cs="Arial"/>
                <w:sz w:val="16"/>
                <w:szCs w:val="16"/>
              </w:rPr>
              <w:t>0014</w:t>
            </w:r>
          </w:p>
        </w:tc>
        <w:tc>
          <w:tcPr>
            <w:tcW w:w="712" w:type="dxa"/>
            <w:tcBorders>
              <w:top w:val="single" w:color="000000" w:sz="4" w:space="0"/>
              <w:left w:val="single" w:color="000000" w:sz="4" w:space="0"/>
              <w:bottom w:val="single" w:color="000000" w:sz="8" w:space="0"/>
            </w:tcBorders>
            <w:shd w:val="clear" w:color="auto" w:fill="auto"/>
            <w:noWrap w:val="0"/>
            <w:vAlign w:val="bottom"/>
          </w:tcPr>
          <w:p>
            <w:pPr>
              <w:jc w:val="right"/>
            </w:pPr>
            <w:r>
              <w:rPr>
                <w:rFonts w:ascii="Arial" w:hAnsi="Arial" w:cs="Arial"/>
                <w:sz w:val="16"/>
                <w:szCs w:val="16"/>
              </w:rPr>
              <w:t>512</w:t>
            </w:r>
          </w:p>
        </w:tc>
        <w:tc>
          <w:tcPr>
            <w:tcW w:w="1688" w:type="dxa"/>
            <w:tcBorders>
              <w:top w:val="single" w:color="000000" w:sz="4" w:space="0"/>
              <w:left w:val="single" w:color="000000" w:sz="4" w:space="0"/>
              <w:bottom w:val="single" w:color="000000" w:sz="8" w:space="0"/>
            </w:tcBorders>
            <w:shd w:val="clear" w:color="auto" w:fill="auto"/>
            <w:noWrap w:val="0"/>
            <w:vAlign w:val="bottom"/>
          </w:tcPr>
          <w:p>
            <w:pPr>
              <w:jc w:val="center"/>
            </w:pPr>
            <w:r>
              <w:rPr>
                <w:rFonts w:ascii="Arial" w:hAnsi="Arial" w:cs="Arial"/>
                <w:sz w:val="16"/>
                <w:szCs w:val="16"/>
              </w:rPr>
              <w:t>Опрема</w:t>
            </w:r>
          </w:p>
        </w:tc>
        <w:tc>
          <w:tcPr>
            <w:tcW w:w="1905" w:type="dxa"/>
            <w:tcBorders>
              <w:top w:val="single" w:color="000000" w:sz="4" w:space="0"/>
              <w:left w:val="single" w:color="000000" w:sz="4" w:space="0"/>
              <w:bottom w:val="single" w:color="000000" w:sz="8" w:space="0"/>
            </w:tcBorders>
            <w:shd w:val="clear" w:color="auto" w:fill="auto"/>
            <w:noWrap w:val="0"/>
            <w:vAlign w:val="bottom"/>
          </w:tcPr>
          <w:p>
            <w:pPr>
              <w:jc w:val="right"/>
            </w:pPr>
            <w:r>
              <w:rPr>
                <w:rFonts w:ascii="Arial" w:hAnsi="Arial" w:cs="Arial"/>
                <w:sz w:val="16"/>
                <w:szCs w:val="16"/>
              </w:rPr>
              <w:t>100,000.00</w:t>
            </w:r>
          </w:p>
        </w:tc>
        <w:tc>
          <w:tcPr>
            <w:tcW w:w="1694" w:type="dxa"/>
            <w:tcBorders>
              <w:top w:val="single" w:color="000000" w:sz="4" w:space="0"/>
              <w:left w:val="single" w:color="000000" w:sz="4" w:space="0"/>
              <w:bottom w:val="single" w:color="000000" w:sz="8" w:space="0"/>
              <w:right w:val="single" w:color="000000" w:sz="4" w:space="0"/>
            </w:tcBorders>
            <w:shd w:val="clear" w:color="auto" w:fill="auto"/>
            <w:noWrap w:val="0"/>
            <w:vAlign w:val="bottom"/>
          </w:tcPr>
          <w:p>
            <w:pPr>
              <w:jc w:val="right"/>
            </w:pPr>
            <w:r>
              <w:rPr>
                <w:rFonts w:ascii="Arial" w:hAnsi="Arial" w:cs="Arial"/>
                <w:sz w:val="16"/>
                <w:szCs w:val="16"/>
                <w:lang w:val="sr-Latn-RS"/>
              </w:rPr>
              <w:t>53.000</w:t>
            </w:r>
            <w:r>
              <w:rPr>
                <w:rFonts w:ascii="Arial" w:hAnsi="Arial" w:cs="Arial"/>
                <w:sz w:val="16"/>
                <w:szCs w:val="16"/>
              </w:rPr>
              <w:t>.00</w:t>
            </w:r>
          </w:p>
        </w:tc>
      </w:tr>
    </w:tbl>
    <w:p>
      <w:pPr>
        <w:jc w:val="right"/>
        <w:rPr>
          <w:i/>
          <w:lang w:val="sr-Latn-RS"/>
        </w:rPr>
      </w:pPr>
    </w:p>
    <w:p>
      <w:pPr>
        <w:jc w:val="right"/>
      </w:pPr>
      <w:r>
        <w:rPr>
          <w:i/>
          <w:u w:val="single"/>
          <w:lang w:val="sr-Latn-RS"/>
        </w:rPr>
        <w:t>Информатор о раду Основног јавног тужилаштва у Куршумлији</w:t>
      </w:r>
    </w:p>
    <w:p>
      <w:pPr>
        <w:jc w:val="right"/>
      </w:pPr>
      <w:r>
        <w:rPr>
          <w:i/>
          <w:lang w:val="sr-Latn-RS"/>
        </w:rPr>
        <w:t xml:space="preserve">Датум последњег ажурирања: </w:t>
      </w:r>
      <w:r>
        <w:rPr>
          <w:rFonts w:hint="default"/>
          <w:i/>
          <w:lang w:val="en-US"/>
        </w:rPr>
        <w:t>02</w:t>
      </w:r>
      <w:r>
        <w:rPr>
          <w:i/>
          <w:lang w:val="sr-Latn-RS"/>
        </w:rPr>
        <w:t>.0</w:t>
      </w:r>
      <w:r>
        <w:rPr>
          <w:rFonts w:hint="default"/>
          <w:i/>
          <w:lang w:val="en-US"/>
        </w:rPr>
        <w:t>2</w:t>
      </w:r>
      <w:r>
        <w:rPr>
          <w:i/>
          <w:lang w:val="sr-Latn-RS"/>
        </w:rPr>
        <w:t>.2023.</w:t>
      </w:r>
    </w:p>
    <w:p>
      <w:pPr>
        <w:jc w:val="right"/>
      </w:pPr>
    </w:p>
    <w:p>
      <w:pPr>
        <w:numPr>
          <w:ilvl w:val="0"/>
          <w:numId w:val="0"/>
        </w:numPr>
        <w:bidi w:val="0"/>
        <w:ind w:left="0" w:right="0" w:firstLine="720"/>
        <w:jc w:val="right"/>
        <w:outlineLvl w:val="4"/>
        <w:rPr>
          <w:sz w:val="24"/>
          <w:szCs w:val="24"/>
          <w:lang w:val="sr-Latn-RS"/>
        </w:rPr>
      </w:pPr>
    </w:p>
    <w:p>
      <w:pPr>
        <w:numPr>
          <w:ilvl w:val="0"/>
          <w:numId w:val="0"/>
        </w:numPr>
        <w:bidi w:val="0"/>
        <w:ind w:left="0" w:right="0" w:firstLine="720"/>
        <w:jc w:val="right"/>
        <w:outlineLvl w:val="4"/>
        <w:rPr>
          <w:sz w:val="24"/>
          <w:szCs w:val="24"/>
        </w:rPr>
      </w:pPr>
    </w:p>
    <w:p>
      <w:pPr>
        <w:numPr>
          <w:ilvl w:val="0"/>
          <w:numId w:val="0"/>
        </w:numPr>
        <w:bidi w:val="0"/>
        <w:ind w:left="0" w:right="0" w:firstLine="0"/>
        <w:jc w:val="center"/>
        <w:outlineLvl w:val="0"/>
        <w:rPr>
          <w:b/>
          <w:sz w:val="24"/>
        </w:rPr>
      </w:pPr>
      <w:bookmarkStart w:id="12" w:name="_Toc517172844"/>
      <w:bookmarkEnd w:id="12"/>
      <w:r>
        <w:rPr>
          <w:b/>
          <w:sz w:val="24"/>
        </w:rPr>
        <w:t>XIII  -  ПОДАЦИ О ИСПЛАЋЕНИМ ПЛАТАМА, ЗАРАДАМА И ДРУГИМ ПРИМАЊИМА</w:t>
      </w:r>
    </w:p>
    <w:p>
      <w:pPr>
        <w:numPr>
          <w:ilvl w:val="0"/>
          <w:numId w:val="0"/>
        </w:numPr>
        <w:bidi w:val="0"/>
        <w:ind w:left="0" w:right="0" w:firstLine="0"/>
        <w:jc w:val="center"/>
        <w:outlineLvl w:val="0"/>
        <w:rPr>
          <w:b/>
          <w:sz w:val="24"/>
        </w:rPr>
      </w:pPr>
    </w:p>
    <w:p>
      <w:pPr>
        <w:numPr>
          <w:ilvl w:val="0"/>
          <w:numId w:val="0"/>
        </w:numPr>
        <w:bidi w:val="0"/>
        <w:ind w:left="0" w:right="0" w:firstLine="0"/>
        <w:jc w:val="center"/>
        <w:outlineLvl w:val="0"/>
        <w:rPr>
          <w:rFonts w:hint="default"/>
          <w:b/>
          <w:sz w:val="24"/>
          <w:lang w:val="en-US"/>
        </w:rPr>
      </w:pPr>
    </w:p>
    <w:p>
      <w:pPr>
        <w:ind w:firstLine="720" w:firstLineChars="0"/>
        <w:jc w:val="left"/>
      </w:pPr>
      <w:r>
        <w:rPr>
          <w:lang w:val="sr-Latn-RS"/>
        </w:rPr>
        <w:t>Подаци о исплаћеним платама, зарадама и другим примањима у складу са Законом о буџету Републике Србије 202</w:t>
      </w:r>
      <w:r>
        <w:rPr>
          <w:lang w:val="en-GB"/>
        </w:rPr>
        <w:t>2</w:t>
      </w:r>
      <w:r>
        <w:t>.</w:t>
      </w:r>
      <w:r>
        <w:rPr>
          <w:lang w:val="sr-Latn-RS"/>
        </w:rPr>
        <w:t xml:space="preserve"> (Сл.Гласник РС, бр.99/2016)</w:t>
      </w:r>
    </w:p>
    <w:p>
      <w:pPr>
        <w:jc w:val="left"/>
      </w:pPr>
      <w:r>
        <w:rPr>
          <w:lang w:val="sr-Latn-RS"/>
        </w:rPr>
        <w:tab/>
      </w:r>
      <w:r>
        <w:rPr>
          <w:lang w:val="sr-Latn-RS"/>
        </w:rPr>
        <w:t>Подаци о платама изабраних лица за месец</w:t>
      </w:r>
      <w:r>
        <w:t xml:space="preserve"> децембар </w:t>
      </w:r>
      <w:r>
        <w:rPr>
          <w:lang w:val="sr-Latn-RS"/>
        </w:rPr>
        <w:t>2022 године:</w:t>
      </w:r>
    </w:p>
    <w:p>
      <w:pPr>
        <w:jc w:val="both"/>
        <w:rPr>
          <w:lang w:val="sr-Latn-RS"/>
        </w:rPr>
      </w:pPr>
    </w:p>
    <w:p>
      <w:pPr>
        <w:jc w:val="both"/>
        <w:rPr>
          <w:lang w:val="sr-Latn-RS"/>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-1270</wp:posOffset>
                </wp:positionV>
                <wp:extent cx="2854960" cy="978535"/>
                <wp:effectExtent l="0" t="0" r="2540" b="12065"/>
                <wp:wrapSquare wrapText="bothSides"/>
                <wp:docPr id="5" name="Text Box 5"/>
                <wp:cNvGraphicFramePr/>
                <a:graphic xmlns:a="http://schemas.openxmlformats.org/drawingml/2006/main">
                  <a:graphicData uri="http://schemas.microsoft.com/office/word/2010/wordprocessingShape">
                    <wps:wsp>
                      <wps:cNvSpPr txBox="1"/>
                      <wps:spPr>
                        <a:xfrm>
                          <a:off x="0" y="0"/>
                          <a:ext cx="2854960" cy="978535"/>
                        </a:xfrm>
                        <a:prstGeom prst="rect">
                          <a:avLst/>
                        </a:prstGeom>
                        <a:solidFill>
                          <a:srgbClr val="FFFFFF"/>
                        </a:solidFill>
                        <a:ln>
                          <a:noFill/>
                        </a:ln>
                      </wps:spPr>
                      <wps:txbx>
                        <w:txbxContent>
                          <w:tbl>
                            <w:tblPr>
                              <w:tblStyle w:val="3"/>
                              <w:tblW w:w="0" w:type="auto"/>
                              <w:tblInd w:w="108" w:type="dxa"/>
                              <w:tblLayout w:type="fixed"/>
                              <w:tblCellMar>
                                <w:top w:w="0" w:type="dxa"/>
                                <w:left w:w="108" w:type="dxa"/>
                                <w:bottom w:w="0" w:type="dxa"/>
                                <w:right w:w="108" w:type="dxa"/>
                              </w:tblCellMar>
                            </w:tblPr>
                            <w:tblGrid>
                              <w:gridCol w:w="2448"/>
                              <w:gridCol w:w="2072"/>
                            </w:tblGrid>
                            <w:tr>
                              <w:tblPrEx>
                                <w:tblCellMar>
                                  <w:top w:w="0" w:type="dxa"/>
                                  <w:left w:w="108" w:type="dxa"/>
                                  <w:bottom w:w="0" w:type="dxa"/>
                                  <w:right w:w="108" w:type="dxa"/>
                                </w:tblCellMar>
                              </w:tblPrEx>
                              <w:trPr>
                                <w:trHeight w:val="675" w:hRule="atLeast"/>
                              </w:trPr>
                              <w:tc>
                                <w:tcPr>
                                  <w:tcW w:w="2448" w:type="dxa"/>
                                  <w:tcBorders>
                                    <w:top w:val="single" w:color="000000" w:sz="8" w:space="0"/>
                                    <w:left w:val="single" w:color="000000" w:sz="8" w:space="0"/>
                                    <w:bottom w:val="single" w:color="000000" w:sz="4" w:space="0"/>
                                  </w:tcBorders>
                                  <w:shd w:val="clear" w:color="auto" w:fill="auto"/>
                                  <w:noWrap w:val="0"/>
                                  <w:vAlign w:val="center"/>
                                </w:tcPr>
                                <w:p>
                                  <w:pPr>
                                    <w:jc w:val="center"/>
                                  </w:pPr>
                                  <w:r>
                                    <w:rPr>
                                      <w:rFonts w:ascii="Arial" w:hAnsi="Arial" w:cs="Arial"/>
                                      <w:b/>
                                      <w:bCs/>
                                      <w:sz w:val="20"/>
                                      <w:szCs w:val="20"/>
                                    </w:rPr>
                                    <w:t>Функција</w:t>
                                  </w:r>
                                </w:p>
                              </w:tc>
                              <w:tc>
                                <w:tcPr>
                                  <w:tcW w:w="2072" w:type="dxa"/>
                                  <w:tcBorders>
                                    <w:top w:val="single" w:color="000000" w:sz="8" w:space="0"/>
                                    <w:left w:val="single" w:color="000000" w:sz="4" w:space="0"/>
                                    <w:bottom w:val="single" w:color="000000" w:sz="4" w:space="0"/>
                                    <w:right w:val="single" w:color="000000" w:sz="8" w:space="0"/>
                                  </w:tcBorders>
                                  <w:shd w:val="clear" w:color="auto" w:fill="auto"/>
                                  <w:noWrap w:val="0"/>
                                  <w:vAlign w:val="center"/>
                                </w:tcPr>
                                <w:p>
                                  <w:pPr>
                                    <w:jc w:val="both"/>
                                  </w:pPr>
                                  <w:r>
                                    <w:rPr>
                                      <w:rFonts w:ascii="Arial" w:hAnsi="Arial" w:cs="Arial"/>
                                      <w:b/>
                                      <w:bCs/>
                                      <w:sz w:val="20"/>
                                      <w:szCs w:val="20"/>
                                    </w:rPr>
                                    <w:t>Нето плата без минулог рада у (динарима)</w:t>
                                  </w:r>
                                </w:p>
                              </w:tc>
                            </w:tr>
                            <w:tr>
                              <w:tblPrEx>
                                <w:tblCellMar>
                                  <w:top w:w="0" w:type="dxa"/>
                                  <w:left w:w="108" w:type="dxa"/>
                                  <w:bottom w:w="0" w:type="dxa"/>
                                  <w:right w:w="108" w:type="dxa"/>
                                </w:tblCellMar>
                              </w:tblPrEx>
                              <w:trPr>
                                <w:trHeight w:val="345" w:hRule="atLeast"/>
                              </w:trPr>
                              <w:tc>
                                <w:tcPr>
                                  <w:tcW w:w="2448" w:type="dxa"/>
                                  <w:tcBorders>
                                    <w:left w:val="single" w:color="000000" w:sz="8" w:space="0"/>
                                    <w:bottom w:val="single" w:color="000000" w:sz="4" w:space="0"/>
                                  </w:tcBorders>
                                  <w:shd w:val="clear" w:color="auto" w:fill="auto"/>
                                  <w:noWrap w:val="0"/>
                                  <w:vAlign w:val="bottom"/>
                                </w:tcPr>
                                <w:p>
                                  <w:r>
                                    <w:rPr>
                                      <w:rFonts w:ascii="Arial" w:hAnsi="Arial" w:cs="Arial"/>
                                      <w:sz w:val="20"/>
                                      <w:szCs w:val="20"/>
                                    </w:rPr>
                                    <w:t>Основни јавни тужилац</w:t>
                                  </w:r>
                                </w:p>
                              </w:tc>
                              <w:tc>
                                <w:tcPr>
                                  <w:tcW w:w="2072" w:type="dxa"/>
                                  <w:tcBorders>
                                    <w:left w:val="single" w:color="000000" w:sz="4" w:space="0"/>
                                    <w:bottom w:val="single" w:color="000000" w:sz="4" w:space="0"/>
                                    <w:right w:val="single" w:color="000000" w:sz="8" w:space="0"/>
                                  </w:tcBorders>
                                  <w:shd w:val="clear" w:color="auto" w:fill="auto"/>
                                  <w:noWrap w:val="0"/>
                                  <w:vAlign w:val="bottom"/>
                                </w:tcPr>
                                <w:p>
                                  <w:pPr>
                                    <w:jc w:val="right"/>
                                  </w:pPr>
                                  <w:r>
                                    <w:rPr>
                                      <w:rFonts w:ascii="Arial" w:hAnsi="Arial" w:cs="Arial"/>
                                      <w:sz w:val="20"/>
                                      <w:szCs w:val="20"/>
                                      <w:lang w:val="en-GB"/>
                                    </w:rPr>
                                    <w:t>126.602,26</w:t>
                                  </w:r>
                                </w:p>
                              </w:tc>
                            </w:tr>
                            <w:tr>
                              <w:tblPrEx>
                                <w:tblCellMar>
                                  <w:top w:w="0" w:type="dxa"/>
                                  <w:left w:w="108" w:type="dxa"/>
                                  <w:bottom w:w="0" w:type="dxa"/>
                                  <w:right w:w="108" w:type="dxa"/>
                                </w:tblCellMar>
                              </w:tblPrEx>
                              <w:trPr>
                                <w:trHeight w:val="465" w:hRule="atLeast"/>
                              </w:trPr>
                              <w:tc>
                                <w:tcPr>
                                  <w:tcW w:w="2448" w:type="dxa"/>
                                  <w:tcBorders>
                                    <w:left w:val="single" w:color="000000" w:sz="8" w:space="0"/>
                                    <w:bottom w:val="single" w:color="000000" w:sz="8" w:space="0"/>
                                  </w:tcBorders>
                                  <w:shd w:val="clear" w:color="auto" w:fill="auto"/>
                                  <w:noWrap w:val="0"/>
                                  <w:vAlign w:val="bottom"/>
                                </w:tcPr>
                                <w:p>
                                  <w:r>
                                    <w:rPr>
                                      <w:rFonts w:ascii="Arial" w:hAnsi="Arial" w:cs="Arial"/>
                                      <w:sz w:val="20"/>
                                      <w:szCs w:val="20"/>
                                    </w:rPr>
                                    <w:t>Зам. јавног тужиоца</w:t>
                                  </w:r>
                                </w:p>
                              </w:tc>
                              <w:tc>
                                <w:tcPr>
                                  <w:tcW w:w="2072" w:type="dxa"/>
                                  <w:tcBorders>
                                    <w:left w:val="single" w:color="000000" w:sz="4" w:space="0"/>
                                    <w:bottom w:val="single" w:color="000000" w:sz="8" w:space="0"/>
                                    <w:right w:val="single" w:color="000000" w:sz="8" w:space="0"/>
                                  </w:tcBorders>
                                  <w:shd w:val="clear" w:color="auto" w:fill="auto"/>
                                  <w:noWrap w:val="0"/>
                                  <w:vAlign w:val="bottom"/>
                                </w:tcPr>
                                <w:p>
                                  <w:pPr>
                                    <w:jc w:val="right"/>
                                  </w:pPr>
                                  <w:r>
                                    <w:rPr>
                                      <w:rFonts w:ascii="Arial" w:hAnsi="Arial" w:cs="Arial"/>
                                      <w:sz w:val="20"/>
                                      <w:szCs w:val="20"/>
                                      <w:lang w:val="en-GB"/>
                                    </w:rPr>
                                    <w:t>115.092,96</w:t>
                                  </w:r>
                                </w:p>
                              </w:tc>
                            </w:tr>
                          </w:tbl>
                          <w:p>
                            <w:r>
                              <w:t xml:space="preserve"> </w:t>
                            </w:r>
                          </w:p>
                        </w:txbxContent>
                      </wps:txbx>
                      <wps:bodyPr lIns="1905" tIns="1905" rIns="1905" bIns="1905" upright="1"/>
                    </wps:wsp>
                  </a:graphicData>
                </a:graphic>
              </wp:anchor>
            </w:drawing>
          </mc:Choice>
          <mc:Fallback>
            <w:pict>
              <v:shape id="_x0000_s1026" o:spid="_x0000_s1026" o:spt="202" type="#_x0000_t202" style="position:absolute;left:0pt;margin-top:-0.1pt;height:77.05pt;width:224.8pt;mso-position-horizontal:center;mso-position-horizontal-relative:margin;mso-wrap-distance-bottom:0pt;mso-wrap-distance-left:9pt;mso-wrap-distance-right:9pt;mso-wrap-distance-top:0pt;z-index:251661312;mso-width-relative:page;mso-height-relative:page;" fillcolor="#FFFFFF" filled="t" stroked="f" coordsize="21600,21600" o:gfxdata="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XS7+jXAAAABgEAAA8AAAAAAAAAAQAgAAAAIgAAAGRycy9kb3ducmV2&#10;LnhtbFBLAQIUABQAAAAIAIdO4kA448YgxAEAAKYDAAAOAAAAAAAAAAEAIAAAACYBAABkcnMvZTJv&#10;RG9jLnhtbFBLBQYAAAAABgAGAFkBAABcBQAAAAA=&#10;">
                <v:fill on="t" focussize="0,0"/>
                <v:stroke on="f"/>
                <v:imagedata o:title=""/>
                <o:lock v:ext="edit" aspectratio="f"/>
                <v:textbox inset="0.15pt,0.15pt,0.15pt,0.15pt">
                  <w:txbxContent>
                    <w:tbl>
                      <w:tblPr>
                        <w:tblStyle w:val="3"/>
                        <w:tblW w:w="0" w:type="auto"/>
                        <w:tblInd w:w="108" w:type="dxa"/>
                        <w:tblLayout w:type="fixed"/>
                        <w:tblCellMar>
                          <w:top w:w="0" w:type="dxa"/>
                          <w:left w:w="108" w:type="dxa"/>
                          <w:bottom w:w="0" w:type="dxa"/>
                          <w:right w:w="108" w:type="dxa"/>
                        </w:tblCellMar>
                      </w:tblPr>
                      <w:tblGrid>
                        <w:gridCol w:w="2448"/>
                        <w:gridCol w:w="2072"/>
                      </w:tblGrid>
                      <w:tr>
                        <w:tblPrEx>
                          <w:tblCellMar>
                            <w:top w:w="0" w:type="dxa"/>
                            <w:left w:w="108" w:type="dxa"/>
                            <w:bottom w:w="0" w:type="dxa"/>
                            <w:right w:w="108" w:type="dxa"/>
                          </w:tblCellMar>
                        </w:tblPrEx>
                        <w:trPr>
                          <w:trHeight w:val="675" w:hRule="atLeast"/>
                        </w:trPr>
                        <w:tc>
                          <w:tcPr>
                            <w:tcW w:w="2448" w:type="dxa"/>
                            <w:tcBorders>
                              <w:top w:val="single" w:color="000000" w:sz="8" w:space="0"/>
                              <w:left w:val="single" w:color="000000" w:sz="8" w:space="0"/>
                              <w:bottom w:val="single" w:color="000000" w:sz="4" w:space="0"/>
                            </w:tcBorders>
                            <w:shd w:val="clear" w:color="auto" w:fill="auto"/>
                            <w:noWrap w:val="0"/>
                            <w:vAlign w:val="center"/>
                          </w:tcPr>
                          <w:p>
                            <w:pPr>
                              <w:jc w:val="center"/>
                            </w:pPr>
                            <w:r>
                              <w:rPr>
                                <w:rFonts w:ascii="Arial" w:hAnsi="Arial" w:cs="Arial"/>
                                <w:b/>
                                <w:bCs/>
                                <w:sz w:val="20"/>
                                <w:szCs w:val="20"/>
                              </w:rPr>
                              <w:t>Функција</w:t>
                            </w:r>
                          </w:p>
                        </w:tc>
                        <w:tc>
                          <w:tcPr>
                            <w:tcW w:w="2072" w:type="dxa"/>
                            <w:tcBorders>
                              <w:top w:val="single" w:color="000000" w:sz="8" w:space="0"/>
                              <w:left w:val="single" w:color="000000" w:sz="4" w:space="0"/>
                              <w:bottom w:val="single" w:color="000000" w:sz="4" w:space="0"/>
                              <w:right w:val="single" w:color="000000" w:sz="8" w:space="0"/>
                            </w:tcBorders>
                            <w:shd w:val="clear" w:color="auto" w:fill="auto"/>
                            <w:noWrap w:val="0"/>
                            <w:vAlign w:val="center"/>
                          </w:tcPr>
                          <w:p>
                            <w:pPr>
                              <w:jc w:val="both"/>
                            </w:pPr>
                            <w:r>
                              <w:rPr>
                                <w:rFonts w:ascii="Arial" w:hAnsi="Arial" w:cs="Arial"/>
                                <w:b/>
                                <w:bCs/>
                                <w:sz w:val="20"/>
                                <w:szCs w:val="20"/>
                              </w:rPr>
                              <w:t>Нето плата без минулог рада у (динарима)</w:t>
                            </w:r>
                          </w:p>
                        </w:tc>
                      </w:tr>
                      <w:tr>
                        <w:tblPrEx>
                          <w:tblCellMar>
                            <w:top w:w="0" w:type="dxa"/>
                            <w:left w:w="108" w:type="dxa"/>
                            <w:bottom w:w="0" w:type="dxa"/>
                            <w:right w:w="108" w:type="dxa"/>
                          </w:tblCellMar>
                        </w:tblPrEx>
                        <w:trPr>
                          <w:trHeight w:val="345" w:hRule="atLeast"/>
                        </w:trPr>
                        <w:tc>
                          <w:tcPr>
                            <w:tcW w:w="2448" w:type="dxa"/>
                            <w:tcBorders>
                              <w:left w:val="single" w:color="000000" w:sz="8" w:space="0"/>
                              <w:bottom w:val="single" w:color="000000" w:sz="4" w:space="0"/>
                            </w:tcBorders>
                            <w:shd w:val="clear" w:color="auto" w:fill="auto"/>
                            <w:noWrap w:val="0"/>
                            <w:vAlign w:val="bottom"/>
                          </w:tcPr>
                          <w:p>
                            <w:r>
                              <w:rPr>
                                <w:rFonts w:ascii="Arial" w:hAnsi="Arial" w:cs="Arial"/>
                                <w:sz w:val="20"/>
                                <w:szCs w:val="20"/>
                              </w:rPr>
                              <w:t>Основни јавни тужилац</w:t>
                            </w:r>
                          </w:p>
                        </w:tc>
                        <w:tc>
                          <w:tcPr>
                            <w:tcW w:w="2072" w:type="dxa"/>
                            <w:tcBorders>
                              <w:left w:val="single" w:color="000000" w:sz="4" w:space="0"/>
                              <w:bottom w:val="single" w:color="000000" w:sz="4" w:space="0"/>
                              <w:right w:val="single" w:color="000000" w:sz="8" w:space="0"/>
                            </w:tcBorders>
                            <w:shd w:val="clear" w:color="auto" w:fill="auto"/>
                            <w:noWrap w:val="0"/>
                            <w:vAlign w:val="bottom"/>
                          </w:tcPr>
                          <w:p>
                            <w:pPr>
                              <w:jc w:val="right"/>
                            </w:pPr>
                            <w:r>
                              <w:rPr>
                                <w:rFonts w:ascii="Arial" w:hAnsi="Arial" w:cs="Arial"/>
                                <w:sz w:val="20"/>
                                <w:szCs w:val="20"/>
                                <w:lang w:val="en-GB"/>
                              </w:rPr>
                              <w:t>126.602,26</w:t>
                            </w:r>
                          </w:p>
                        </w:tc>
                      </w:tr>
                      <w:tr>
                        <w:tblPrEx>
                          <w:tblCellMar>
                            <w:top w:w="0" w:type="dxa"/>
                            <w:left w:w="108" w:type="dxa"/>
                            <w:bottom w:w="0" w:type="dxa"/>
                            <w:right w:w="108" w:type="dxa"/>
                          </w:tblCellMar>
                        </w:tblPrEx>
                        <w:trPr>
                          <w:trHeight w:val="465" w:hRule="atLeast"/>
                        </w:trPr>
                        <w:tc>
                          <w:tcPr>
                            <w:tcW w:w="2448" w:type="dxa"/>
                            <w:tcBorders>
                              <w:left w:val="single" w:color="000000" w:sz="8" w:space="0"/>
                              <w:bottom w:val="single" w:color="000000" w:sz="8" w:space="0"/>
                            </w:tcBorders>
                            <w:shd w:val="clear" w:color="auto" w:fill="auto"/>
                            <w:noWrap w:val="0"/>
                            <w:vAlign w:val="bottom"/>
                          </w:tcPr>
                          <w:p>
                            <w:r>
                              <w:rPr>
                                <w:rFonts w:ascii="Arial" w:hAnsi="Arial" w:cs="Arial"/>
                                <w:sz w:val="20"/>
                                <w:szCs w:val="20"/>
                              </w:rPr>
                              <w:t>Зам. јавног тужиоца</w:t>
                            </w:r>
                          </w:p>
                        </w:tc>
                        <w:tc>
                          <w:tcPr>
                            <w:tcW w:w="2072" w:type="dxa"/>
                            <w:tcBorders>
                              <w:left w:val="single" w:color="000000" w:sz="4" w:space="0"/>
                              <w:bottom w:val="single" w:color="000000" w:sz="8" w:space="0"/>
                              <w:right w:val="single" w:color="000000" w:sz="8" w:space="0"/>
                            </w:tcBorders>
                            <w:shd w:val="clear" w:color="auto" w:fill="auto"/>
                            <w:noWrap w:val="0"/>
                            <w:vAlign w:val="bottom"/>
                          </w:tcPr>
                          <w:p>
                            <w:pPr>
                              <w:jc w:val="right"/>
                            </w:pPr>
                            <w:r>
                              <w:rPr>
                                <w:rFonts w:ascii="Arial" w:hAnsi="Arial" w:cs="Arial"/>
                                <w:sz w:val="20"/>
                                <w:szCs w:val="20"/>
                                <w:lang w:val="en-GB"/>
                              </w:rPr>
                              <w:t>115.092,96</w:t>
                            </w:r>
                          </w:p>
                        </w:tc>
                      </w:tr>
                    </w:tbl>
                    <w:p>
                      <w:r>
                        <w:t xml:space="preserve"> </w:t>
                      </w:r>
                    </w:p>
                  </w:txbxContent>
                </v:textbox>
                <w10:wrap type="square"/>
              </v:shape>
            </w:pict>
          </mc:Fallback>
        </mc:AlternateContent>
      </w:r>
    </w:p>
    <w:p>
      <w:pPr>
        <w:jc w:val="both"/>
      </w:pPr>
      <w:r>
        <w:rPr>
          <w:i/>
          <w:u w:val="single"/>
          <w:lang w:val="sr-Latn-RS"/>
        </w:rPr>
        <w:tab/>
      </w:r>
      <w:r>
        <w:rPr>
          <w:i/>
          <w:u w:val="single"/>
          <w:lang w:val="sr-Latn-RS"/>
        </w:rPr>
        <w:tab/>
      </w:r>
    </w:p>
    <w:p>
      <w:pPr>
        <w:jc w:val="right"/>
      </w:pPr>
      <w:r>
        <w:rPr>
          <w:i/>
          <w:u w:val="single"/>
          <w:lang w:val="sr-Latn-RS"/>
        </w:rPr>
        <w:t xml:space="preserve"> </w:t>
      </w:r>
    </w:p>
    <w:p>
      <w:pPr>
        <w:jc w:val="right"/>
        <w:rPr>
          <w:i/>
          <w:u w:val="single"/>
          <w:lang w:val="sr-Latn-RS"/>
        </w:rPr>
      </w:pPr>
    </w:p>
    <w:p>
      <w:pPr>
        <w:jc w:val="right"/>
        <w:rPr>
          <w:i/>
          <w:u w:val="single"/>
          <w:lang w:val="sr-Latn-RS"/>
        </w:rPr>
      </w:pPr>
    </w:p>
    <w:p>
      <w:pPr>
        <w:jc w:val="right"/>
        <w:rPr>
          <w:i/>
          <w:u w:val="single"/>
          <w:lang w:val="sr-Latn-RS"/>
        </w:rPr>
      </w:pPr>
    </w:p>
    <w:p>
      <w:pPr>
        <w:jc w:val="right"/>
        <w:rPr>
          <w:i/>
          <w:u w:val="single"/>
          <w:lang w:val="sr-Latn-RS"/>
        </w:rPr>
      </w:pPr>
    </w:p>
    <w:p>
      <w:pPr>
        <w:jc w:val="right"/>
        <w:rPr>
          <w:i/>
          <w:u w:val="single"/>
          <w:lang w:val="sr-Latn-RS"/>
        </w:rPr>
      </w:pPr>
    </w:p>
    <w:p>
      <w:pPr>
        <w:jc w:val="right"/>
      </w:pPr>
      <w:r>
        <w:rPr>
          <w:i/>
          <w:u w:val="single"/>
          <w:lang w:val="sr-Latn-RS"/>
        </w:rPr>
        <w:t xml:space="preserve">Информатор о раду </w:t>
      </w:r>
    </w:p>
    <w:p>
      <w:pPr>
        <w:jc w:val="right"/>
      </w:pPr>
      <w:r>
        <w:rPr>
          <w:i/>
          <w:u w:val="single"/>
          <w:lang w:val="sr-Latn-RS"/>
        </w:rPr>
        <w:t>Основног јавног тужилаштва у Куршумлији</w:t>
      </w:r>
    </w:p>
    <w:p>
      <w:pPr>
        <w:jc w:val="right"/>
      </w:pPr>
      <w:r>
        <w:rPr>
          <w:i/>
          <w:lang w:val="sr-Latn-RS"/>
        </w:rPr>
        <w:t xml:space="preserve">Датум последњег ажурирања: </w:t>
      </w:r>
      <w:r>
        <w:rPr>
          <w:rFonts w:hint="default"/>
          <w:i/>
          <w:lang w:val="en-US"/>
        </w:rPr>
        <w:t>02</w:t>
      </w:r>
      <w:r>
        <w:rPr>
          <w:i/>
        </w:rPr>
        <w:t>.0</w:t>
      </w:r>
      <w:r>
        <w:rPr>
          <w:rFonts w:hint="default"/>
          <w:i/>
          <w:lang w:val="en-US"/>
        </w:rPr>
        <w:t>2</w:t>
      </w:r>
      <w:r>
        <w:rPr>
          <w:i/>
        </w:rPr>
        <w:t>.202</w:t>
      </w:r>
      <w:r>
        <w:rPr>
          <w:i/>
          <w:lang w:val="sr-Latn-RS"/>
        </w:rPr>
        <w:t>3</w:t>
      </w:r>
      <w:r>
        <w:rPr>
          <w:i/>
        </w:rPr>
        <w:t>.</w:t>
      </w:r>
    </w:p>
    <w:p>
      <w:pPr>
        <w:jc w:val="right"/>
        <w:rPr>
          <w:i/>
          <w:lang w:val="sr-Latn-RS"/>
        </w:rPr>
      </w:pPr>
    </w:p>
    <w:p>
      <w:pPr>
        <w:jc w:val="right"/>
        <w:rPr>
          <w:i/>
          <w:lang w:val="sr-Latn-RS"/>
        </w:rPr>
      </w:pPr>
    </w:p>
    <w:p>
      <w:pPr>
        <w:jc w:val="right"/>
        <w:rPr>
          <w:i/>
          <w:lang w:val="sr-Latn-RS"/>
        </w:rPr>
      </w:pPr>
    </w:p>
    <w:p>
      <w:pPr>
        <w:jc w:val="both"/>
      </w:pPr>
      <w:r>
        <w:rPr>
          <w:lang w:val="sr-Latn-RS"/>
        </w:rPr>
        <w:tab/>
      </w:r>
      <w:r>
        <w:rPr>
          <w:lang w:val="sr-Latn-RS"/>
        </w:rPr>
        <w:t>Подаци о платама државних службеника и намештеника за месец</w:t>
      </w:r>
      <w:r>
        <w:t xml:space="preserve"> септембар  </w:t>
      </w:r>
      <w:r>
        <w:rPr>
          <w:lang w:val="sr-Latn-RS"/>
        </w:rPr>
        <w:t>20</w:t>
      </w:r>
      <w:r>
        <w:t>21</w:t>
      </w:r>
      <w:r>
        <w:rPr>
          <w:lang w:val="sr-Latn-RS"/>
        </w:rPr>
        <w:t>. год. Према звањима прописаним Законом о државним службеницима.</w:t>
      </w:r>
    </w:p>
    <w:p>
      <w:pPr>
        <w:jc w:val="both"/>
        <w:rPr>
          <w:lang w:val="sr-Latn-RS"/>
        </w:rPr>
      </w:pPr>
    </w:p>
    <w:p>
      <w:pPr>
        <w:jc w:val="both"/>
        <w:rPr>
          <w:lang w:val="sr-Latn-RS"/>
        </w:rPr>
      </w:pPr>
      <w:r>
        <mc:AlternateContent>
          <mc:Choice Requires="wps">
            <w:drawing>
              <wp:anchor distT="0" distB="0" distL="114300" distR="114300" simplePos="0" relativeHeight="251662336" behindDoc="0" locked="0" layoutInCell="1" allowOverlap="1">
                <wp:simplePos x="0" y="0"/>
                <wp:positionH relativeFrom="page">
                  <wp:posOffset>1785620</wp:posOffset>
                </wp:positionH>
                <wp:positionV relativeFrom="paragraph">
                  <wp:posOffset>46990</wp:posOffset>
                </wp:positionV>
                <wp:extent cx="4455160" cy="1708785"/>
                <wp:effectExtent l="0" t="0" r="2540" b="5715"/>
                <wp:wrapSquare wrapText="bothSides"/>
                <wp:docPr id="6" name="Text Box 6"/>
                <wp:cNvGraphicFramePr/>
                <a:graphic xmlns:a="http://schemas.openxmlformats.org/drawingml/2006/main">
                  <a:graphicData uri="http://schemas.microsoft.com/office/word/2010/wordprocessingShape">
                    <wps:wsp>
                      <wps:cNvSpPr txBox="1"/>
                      <wps:spPr>
                        <a:xfrm>
                          <a:off x="0" y="0"/>
                          <a:ext cx="4455160" cy="1708785"/>
                        </a:xfrm>
                        <a:prstGeom prst="rect">
                          <a:avLst/>
                        </a:prstGeom>
                        <a:solidFill>
                          <a:srgbClr val="FFFFFF"/>
                        </a:solidFill>
                        <a:ln>
                          <a:noFill/>
                        </a:ln>
                      </wps:spPr>
                      <wps:txbx>
                        <w:txbxContent>
                          <w:tbl>
                            <w:tblPr>
                              <w:tblStyle w:val="3"/>
                              <w:tblW w:w="0" w:type="auto"/>
                              <w:tblInd w:w="108" w:type="dxa"/>
                              <w:tblLayout w:type="fixed"/>
                              <w:tblCellMar>
                                <w:top w:w="0" w:type="dxa"/>
                                <w:left w:w="108" w:type="dxa"/>
                                <w:bottom w:w="0" w:type="dxa"/>
                                <w:right w:w="108" w:type="dxa"/>
                              </w:tblCellMar>
                            </w:tblPr>
                            <w:tblGrid>
                              <w:gridCol w:w="2156"/>
                              <w:gridCol w:w="2195"/>
                              <w:gridCol w:w="2487"/>
                            </w:tblGrid>
                            <w:tr>
                              <w:tblPrEx>
                                <w:tblCellMar>
                                  <w:top w:w="0" w:type="dxa"/>
                                  <w:left w:w="108" w:type="dxa"/>
                                  <w:bottom w:w="0" w:type="dxa"/>
                                  <w:right w:w="108" w:type="dxa"/>
                                </w:tblCellMar>
                              </w:tblPrEx>
                              <w:trPr>
                                <w:trHeight w:val="774" w:hRule="atLeast"/>
                              </w:trPr>
                              <w:tc>
                                <w:tcPr>
                                  <w:tcW w:w="2156" w:type="dxa"/>
                                  <w:tcBorders>
                                    <w:top w:val="single" w:color="000000" w:sz="8" w:space="0"/>
                                    <w:left w:val="single" w:color="000000" w:sz="8" w:space="0"/>
                                    <w:bottom w:val="single" w:color="000000" w:sz="4" w:space="0"/>
                                  </w:tcBorders>
                                  <w:shd w:val="clear" w:color="auto" w:fill="auto"/>
                                  <w:noWrap w:val="0"/>
                                  <w:vAlign w:val="center"/>
                                </w:tcPr>
                                <w:p>
                                  <w:pPr>
                                    <w:jc w:val="center"/>
                                  </w:pPr>
                                  <w:r>
                                    <w:rPr>
                                      <w:rFonts w:ascii="Arial" w:hAnsi="Arial" w:cs="Arial"/>
                                      <w:sz w:val="20"/>
                                      <w:szCs w:val="20"/>
                                    </w:rPr>
                                    <w:t>Звање</w:t>
                                  </w:r>
                                </w:p>
                              </w:tc>
                              <w:tc>
                                <w:tcPr>
                                  <w:tcW w:w="2195" w:type="dxa"/>
                                  <w:tcBorders>
                                    <w:top w:val="single" w:color="000000" w:sz="8" w:space="0"/>
                                    <w:left w:val="single" w:color="000000" w:sz="4" w:space="0"/>
                                    <w:bottom w:val="single" w:color="000000" w:sz="4" w:space="0"/>
                                  </w:tcBorders>
                                  <w:shd w:val="clear" w:color="auto" w:fill="auto"/>
                                  <w:noWrap w:val="0"/>
                                  <w:vAlign w:val="center"/>
                                </w:tcPr>
                                <w:p>
                                  <w:pPr>
                                    <w:jc w:val="both"/>
                                  </w:pPr>
                                  <w:r>
                                    <w:rPr>
                                      <w:rFonts w:ascii="Arial" w:hAnsi="Arial" w:cs="Arial"/>
                                      <w:sz w:val="20"/>
                                      <w:szCs w:val="20"/>
                                    </w:rPr>
                                    <w:t>Најнижа нето плата без минулог рада (у динарима)</w:t>
                                  </w:r>
                                </w:p>
                              </w:tc>
                              <w:tc>
                                <w:tcPr>
                                  <w:tcW w:w="2487" w:type="dxa"/>
                                  <w:tcBorders>
                                    <w:top w:val="single" w:color="000000" w:sz="8" w:space="0"/>
                                    <w:left w:val="single" w:color="000000" w:sz="4" w:space="0"/>
                                    <w:bottom w:val="single" w:color="000000" w:sz="4" w:space="0"/>
                                    <w:right w:val="single" w:color="000000" w:sz="8" w:space="0"/>
                                  </w:tcBorders>
                                  <w:shd w:val="clear" w:color="auto" w:fill="auto"/>
                                  <w:noWrap w:val="0"/>
                                  <w:vAlign w:val="center"/>
                                </w:tcPr>
                                <w:p>
                                  <w:pPr>
                                    <w:jc w:val="both"/>
                                  </w:pPr>
                                  <w:r>
                                    <w:rPr>
                                      <w:rFonts w:ascii="Arial" w:hAnsi="Arial" w:cs="Arial"/>
                                      <w:sz w:val="20"/>
                                      <w:szCs w:val="20"/>
                                    </w:rPr>
                                    <w:t>Највиша нето плата без минулог рада (у динарима)</w:t>
                                  </w:r>
                                </w:p>
                              </w:tc>
                            </w:tr>
                            <w:tr>
                              <w:tblPrEx>
                                <w:tblCellMar>
                                  <w:top w:w="0" w:type="dxa"/>
                                  <w:left w:w="108" w:type="dxa"/>
                                  <w:bottom w:w="0" w:type="dxa"/>
                                  <w:right w:w="108" w:type="dxa"/>
                                </w:tblCellMar>
                              </w:tblPrEx>
                              <w:trPr>
                                <w:trHeight w:val="463" w:hRule="atLeast"/>
                              </w:trPr>
                              <w:tc>
                                <w:tcPr>
                                  <w:tcW w:w="2156" w:type="dxa"/>
                                  <w:tcBorders>
                                    <w:left w:val="single" w:color="000000" w:sz="8" w:space="0"/>
                                    <w:bottom w:val="single" w:color="000000" w:sz="4" w:space="0"/>
                                  </w:tcBorders>
                                  <w:shd w:val="clear" w:color="auto" w:fill="auto"/>
                                  <w:noWrap w:val="0"/>
                                  <w:vAlign w:val="bottom"/>
                                </w:tcPr>
                                <w:p>
                                  <w:r>
                                    <w:rPr>
                                      <w:rFonts w:ascii="Arial" w:hAnsi="Arial" w:cs="Arial"/>
                                      <w:sz w:val="20"/>
                                      <w:szCs w:val="20"/>
                                    </w:rPr>
                                    <w:t>Самостални саветник</w:t>
                                  </w:r>
                                </w:p>
                              </w:tc>
                              <w:tc>
                                <w:tcPr>
                                  <w:tcW w:w="2195" w:type="dxa"/>
                                  <w:tcBorders>
                                    <w:left w:val="single" w:color="000000" w:sz="4" w:space="0"/>
                                    <w:bottom w:val="single" w:color="000000" w:sz="4" w:space="0"/>
                                  </w:tcBorders>
                                  <w:shd w:val="clear" w:color="auto" w:fill="auto"/>
                                  <w:noWrap w:val="0"/>
                                  <w:vAlign w:val="bottom"/>
                                </w:tcPr>
                                <w:p>
                                  <w:pPr>
                                    <w:jc w:val="right"/>
                                  </w:pPr>
                                  <w:r>
                                    <w:rPr>
                                      <w:rFonts w:ascii="Arial" w:hAnsi="Arial" w:cs="Arial"/>
                                      <w:sz w:val="20"/>
                                      <w:szCs w:val="20"/>
                                      <w:lang w:val="en-GB"/>
                                    </w:rPr>
                                    <w:t>76.435,94</w:t>
                                  </w:r>
                                </w:p>
                              </w:tc>
                              <w:tc>
                                <w:tcPr>
                                  <w:tcW w:w="2487" w:type="dxa"/>
                                  <w:tcBorders>
                                    <w:left w:val="single" w:color="000000" w:sz="4" w:space="0"/>
                                    <w:bottom w:val="single" w:color="000000" w:sz="4" w:space="0"/>
                                    <w:right w:val="single" w:color="000000" w:sz="8" w:space="0"/>
                                  </w:tcBorders>
                                  <w:shd w:val="clear" w:color="auto" w:fill="auto"/>
                                  <w:noWrap w:val="0"/>
                                  <w:vAlign w:val="bottom"/>
                                </w:tcPr>
                                <w:p>
                                  <w:pPr>
                                    <w:jc w:val="right"/>
                                  </w:pPr>
                                  <w:r>
                                    <w:rPr>
                                      <w:rFonts w:ascii="Arial" w:hAnsi="Arial" w:cs="Arial"/>
                                      <w:sz w:val="20"/>
                                      <w:szCs w:val="20"/>
                                      <w:lang w:val="en-GB"/>
                                    </w:rPr>
                                    <w:t>76.435,94</w:t>
                                  </w:r>
                                </w:p>
                              </w:tc>
                            </w:tr>
                            <w:tr>
                              <w:tblPrEx>
                                <w:tblCellMar>
                                  <w:top w:w="0" w:type="dxa"/>
                                  <w:left w:w="108" w:type="dxa"/>
                                  <w:bottom w:w="0" w:type="dxa"/>
                                  <w:right w:w="108" w:type="dxa"/>
                                </w:tblCellMar>
                              </w:tblPrEx>
                              <w:trPr>
                                <w:trHeight w:val="262" w:hRule="atLeast"/>
                              </w:trPr>
                              <w:tc>
                                <w:tcPr>
                                  <w:tcW w:w="2156" w:type="dxa"/>
                                  <w:tcBorders>
                                    <w:left w:val="single" w:color="000000" w:sz="8" w:space="0"/>
                                    <w:bottom w:val="single" w:color="000000" w:sz="4" w:space="0"/>
                                  </w:tcBorders>
                                  <w:shd w:val="clear" w:color="auto" w:fill="auto"/>
                                  <w:noWrap w:val="0"/>
                                  <w:vAlign w:val="bottom"/>
                                </w:tcPr>
                                <w:p>
                                  <w:r>
                                    <w:rPr>
                                      <w:rFonts w:ascii="Arial" w:hAnsi="Arial" w:cs="Arial"/>
                                      <w:sz w:val="20"/>
                                      <w:szCs w:val="20"/>
                                    </w:rPr>
                                    <w:t>Референт</w:t>
                                  </w:r>
                                </w:p>
                              </w:tc>
                              <w:tc>
                                <w:tcPr>
                                  <w:tcW w:w="2195" w:type="dxa"/>
                                  <w:tcBorders>
                                    <w:left w:val="single" w:color="000000" w:sz="4" w:space="0"/>
                                    <w:bottom w:val="single" w:color="000000" w:sz="4" w:space="0"/>
                                  </w:tcBorders>
                                  <w:shd w:val="clear" w:color="auto" w:fill="auto"/>
                                  <w:noWrap w:val="0"/>
                                  <w:vAlign w:val="bottom"/>
                                </w:tcPr>
                                <w:p>
                                  <w:pPr>
                                    <w:jc w:val="right"/>
                                  </w:pPr>
                                  <w:r>
                                    <w:rPr>
                                      <w:rFonts w:ascii="Arial" w:hAnsi="Arial" w:cs="Arial"/>
                                      <w:sz w:val="20"/>
                                      <w:szCs w:val="20"/>
                                      <w:lang w:val="en-GB"/>
                                    </w:rPr>
                                    <w:t>37.492,31</w:t>
                                  </w:r>
                                </w:p>
                              </w:tc>
                              <w:tc>
                                <w:tcPr>
                                  <w:tcW w:w="2487" w:type="dxa"/>
                                  <w:tcBorders>
                                    <w:left w:val="single" w:color="000000" w:sz="4" w:space="0"/>
                                    <w:bottom w:val="single" w:color="000000" w:sz="4" w:space="0"/>
                                    <w:right w:val="single" w:color="000000" w:sz="8" w:space="0"/>
                                  </w:tcBorders>
                                  <w:shd w:val="clear" w:color="auto" w:fill="auto"/>
                                  <w:noWrap w:val="0"/>
                                  <w:vAlign w:val="bottom"/>
                                </w:tcPr>
                                <w:p>
                                  <w:pPr>
                                    <w:jc w:val="right"/>
                                  </w:pPr>
                                  <w:r>
                                    <w:rPr>
                                      <w:rFonts w:ascii="Arial" w:hAnsi="Arial" w:cs="Arial"/>
                                      <w:sz w:val="20"/>
                                      <w:szCs w:val="20"/>
                                      <w:lang w:val="en-GB"/>
                                    </w:rPr>
                                    <w:t>52.489,24</w:t>
                                  </w:r>
                                </w:p>
                              </w:tc>
                            </w:tr>
                            <w:tr>
                              <w:tblPrEx>
                                <w:tblCellMar>
                                  <w:top w:w="0" w:type="dxa"/>
                                  <w:left w:w="108" w:type="dxa"/>
                                  <w:bottom w:w="0" w:type="dxa"/>
                                  <w:right w:w="108" w:type="dxa"/>
                                </w:tblCellMar>
                              </w:tblPrEx>
                              <w:trPr>
                                <w:trHeight w:val="948" w:hRule="atLeast"/>
                              </w:trPr>
                              <w:tc>
                                <w:tcPr>
                                  <w:tcW w:w="2156" w:type="dxa"/>
                                  <w:tcBorders>
                                    <w:left w:val="single" w:color="000000" w:sz="8" w:space="0"/>
                                    <w:bottom w:val="single" w:color="000000" w:sz="8" w:space="0"/>
                                  </w:tcBorders>
                                  <w:shd w:val="clear" w:color="auto" w:fill="auto"/>
                                  <w:noWrap w:val="0"/>
                                  <w:vAlign w:val="bottom"/>
                                </w:tcPr>
                                <w:p>
                                  <w:r>
                                    <w:rPr>
                                      <w:rFonts w:ascii="Arial" w:hAnsi="Arial" w:cs="Arial"/>
                                      <w:sz w:val="20"/>
                                      <w:szCs w:val="20"/>
                                    </w:rPr>
                                    <w:t>Намештеник</w:t>
                                  </w:r>
                                </w:p>
                              </w:tc>
                              <w:tc>
                                <w:tcPr>
                                  <w:tcW w:w="2195" w:type="dxa"/>
                                  <w:tcBorders>
                                    <w:left w:val="single" w:color="000000" w:sz="4" w:space="0"/>
                                    <w:bottom w:val="single" w:color="000000" w:sz="8" w:space="0"/>
                                  </w:tcBorders>
                                  <w:shd w:val="clear" w:color="auto" w:fill="auto"/>
                                  <w:noWrap w:val="0"/>
                                  <w:vAlign w:val="bottom"/>
                                </w:tcPr>
                                <w:p>
                                  <w:r>
                                    <w:rPr>
                                      <w:rFonts w:ascii="Arial" w:hAnsi="Arial" w:cs="Arial"/>
                                      <w:sz w:val="20"/>
                                      <w:szCs w:val="20"/>
                                    </w:rPr>
                                    <w:t xml:space="preserve">Минималац – нето </w:t>
                                  </w:r>
                                  <w:r>
                                    <w:rPr>
                                      <w:rFonts w:ascii="Open Sans" w:hAnsi="Open Sans" w:cs="Open Sans"/>
                                      <w:color w:val="6D7993"/>
                                      <w:sz w:val="21"/>
                                      <w:szCs w:val="20"/>
                                    </w:rPr>
                                    <w:t>29.428,80</w:t>
                                  </w:r>
                                  <w:r>
                                    <w:rPr>
                                      <w:rFonts w:ascii="Arial" w:hAnsi="Arial" w:cs="Arial"/>
                                      <w:sz w:val="20"/>
                                      <w:szCs w:val="20"/>
                                    </w:rPr>
                                    <w:t xml:space="preserve">  </w:t>
                                  </w:r>
                                </w:p>
                                <w:p>
                                  <w:r>
                                    <w:rPr>
                                      <w:rFonts w:ascii="Arial" w:hAnsi="Arial" w:cs="Arial"/>
                                      <w:sz w:val="20"/>
                                      <w:szCs w:val="20"/>
                                    </w:rPr>
                                    <w:t>За 160 часова</w:t>
                                  </w:r>
                                </w:p>
                              </w:tc>
                              <w:tc>
                                <w:tcPr>
                                  <w:tcW w:w="2487" w:type="dxa"/>
                                  <w:tcBorders>
                                    <w:left w:val="single" w:color="000000" w:sz="4" w:space="0"/>
                                    <w:bottom w:val="single" w:color="000000" w:sz="8" w:space="0"/>
                                    <w:right w:val="single" w:color="000000" w:sz="8" w:space="0"/>
                                  </w:tcBorders>
                                  <w:shd w:val="clear" w:color="auto" w:fill="auto"/>
                                  <w:noWrap w:val="0"/>
                                  <w:vAlign w:val="bottom"/>
                                </w:tcPr>
                                <w:p>
                                  <w:pPr>
                                    <w:jc w:val="center"/>
                                  </w:pPr>
                                  <w:r>
                                    <w:rPr>
                                      <w:rFonts w:ascii="Arial" w:hAnsi="Arial" w:cs="Arial"/>
                                      <w:sz w:val="20"/>
                                      <w:szCs w:val="20"/>
                                    </w:rPr>
                                    <w:t>Минималац - нето</w:t>
                                  </w:r>
                                </w:p>
                                <w:p>
                                  <w:pPr>
                                    <w:jc w:val="center"/>
                                  </w:pPr>
                                  <w:r>
                                    <w:rPr>
                                      <w:rFonts w:ascii="Open Sans" w:hAnsi="Open Sans" w:cs="Open Sans"/>
                                      <w:color w:val="6D7993"/>
                                      <w:sz w:val="21"/>
                                      <w:szCs w:val="20"/>
                                    </w:rPr>
                                    <w:t>33.843,12</w:t>
                                  </w:r>
                                  <w:r>
                                    <w:rPr>
                                      <w:rFonts w:ascii="Arial" w:hAnsi="Arial" w:cs="Arial"/>
                                      <w:sz w:val="20"/>
                                      <w:szCs w:val="20"/>
                                    </w:rPr>
                                    <w:t xml:space="preserve"> </w:t>
                                  </w:r>
                                </w:p>
                                <w:p>
                                  <w:pPr>
                                    <w:jc w:val="center"/>
                                  </w:pPr>
                                  <w:r>
                                    <w:rPr>
                                      <w:rFonts w:ascii="Arial" w:hAnsi="Arial" w:cs="Arial"/>
                                      <w:sz w:val="20"/>
                                      <w:szCs w:val="20"/>
                                    </w:rPr>
                                    <w:t>За 184 часова</w:t>
                                  </w:r>
                                </w:p>
                                <w:p>
                                  <w:pPr>
                                    <w:jc w:val="center"/>
                                    <w:rPr>
                                      <w:rFonts w:ascii="Arial" w:hAnsi="Arial" w:cs="Arial"/>
                                      <w:sz w:val="20"/>
                                      <w:szCs w:val="20"/>
                                    </w:rPr>
                                  </w:pPr>
                                </w:p>
                              </w:tc>
                            </w:tr>
                          </w:tbl>
                          <w:p>
                            <w:r>
                              <w:t xml:space="preserve"> </w:t>
                            </w:r>
                          </w:p>
                        </w:txbxContent>
                      </wps:txbx>
                      <wps:bodyPr lIns="1905" tIns="1905" rIns="1905" bIns="1905" upright="1"/>
                    </wps:wsp>
                  </a:graphicData>
                </a:graphic>
              </wp:anchor>
            </w:drawing>
          </mc:Choice>
          <mc:Fallback>
            <w:pict>
              <v:shape id="_x0000_s1026" o:spid="_x0000_s1026" o:spt="202" type="#_x0000_t202" style="position:absolute;left:0pt;margin-left:140.6pt;margin-top:3.7pt;height:134.55pt;width:350.8pt;mso-position-horizontal-relative:page;mso-wrap-distance-bottom:0pt;mso-wrap-distance-left:9pt;mso-wrap-distance-right:9pt;mso-wrap-distance-top:0pt;z-index:251662336;mso-width-relative:page;mso-height-relative:page;" fillcolor="#FFFFFF" filled="t" stroked="f" coordsize="21600,21600" o:gfxdata="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36yFvYAAAACQEAAA8AAAAAAAAAAQAgAAAAIgAAAGRycy9kb3ducmV2&#10;LnhtbFBLAQIUABQAAAAIAIdO4kA/tOn2wwEAAKcDAAAOAAAAAAAAAAEAIAAAACcBAABkcnMvZTJv&#10;RG9jLnhtbFBLBQYAAAAABgAGAFkBAABcBQAAAAA=&#10;">
                <v:fill on="t" focussize="0,0"/>
                <v:stroke on="f"/>
                <v:imagedata o:title=""/>
                <o:lock v:ext="edit" aspectratio="f"/>
                <v:textbox inset="0.15pt,0.15pt,0.15pt,0.15pt">
                  <w:txbxContent>
                    <w:tbl>
                      <w:tblPr>
                        <w:tblStyle w:val="3"/>
                        <w:tblW w:w="0" w:type="auto"/>
                        <w:tblInd w:w="108" w:type="dxa"/>
                        <w:tblLayout w:type="fixed"/>
                        <w:tblCellMar>
                          <w:top w:w="0" w:type="dxa"/>
                          <w:left w:w="108" w:type="dxa"/>
                          <w:bottom w:w="0" w:type="dxa"/>
                          <w:right w:w="108" w:type="dxa"/>
                        </w:tblCellMar>
                      </w:tblPr>
                      <w:tblGrid>
                        <w:gridCol w:w="2156"/>
                        <w:gridCol w:w="2195"/>
                        <w:gridCol w:w="2487"/>
                      </w:tblGrid>
                      <w:tr>
                        <w:tblPrEx>
                          <w:tblCellMar>
                            <w:top w:w="0" w:type="dxa"/>
                            <w:left w:w="108" w:type="dxa"/>
                            <w:bottom w:w="0" w:type="dxa"/>
                            <w:right w:w="108" w:type="dxa"/>
                          </w:tblCellMar>
                        </w:tblPrEx>
                        <w:trPr>
                          <w:trHeight w:val="774" w:hRule="atLeast"/>
                        </w:trPr>
                        <w:tc>
                          <w:tcPr>
                            <w:tcW w:w="2156" w:type="dxa"/>
                            <w:tcBorders>
                              <w:top w:val="single" w:color="000000" w:sz="8" w:space="0"/>
                              <w:left w:val="single" w:color="000000" w:sz="8" w:space="0"/>
                              <w:bottom w:val="single" w:color="000000" w:sz="4" w:space="0"/>
                            </w:tcBorders>
                            <w:shd w:val="clear" w:color="auto" w:fill="auto"/>
                            <w:noWrap w:val="0"/>
                            <w:vAlign w:val="center"/>
                          </w:tcPr>
                          <w:p>
                            <w:pPr>
                              <w:jc w:val="center"/>
                            </w:pPr>
                            <w:r>
                              <w:rPr>
                                <w:rFonts w:ascii="Arial" w:hAnsi="Arial" w:cs="Arial"/>
                                <w:sz w:val="20"/>
                                <w:szCs w:val="20"/>
                              </w:rPr>
                              <w:t>Звање</w:t>
                            </w:r>
                          </w:p>
                        </w:tc>
                        <w:tc>
                          <w:tcPr>
                            <w:tcW w:w="2195" w:type="dxa"/>
                            <w:tcBorders>
                              <w:top w:val="single" w:color="000000" w:sz="8" w:space="0"/>
                              <w:left w:val="single" w:color="000000" w:sz="4" w:space="0"/>
                              <w:bottom w:val="single" w:color="000000" w:sz="4" w:space="0"/>
                            </w:tcBorders>
                            <w:shd w:val="clear" w:color="auto" w:fill="auto"/>
                            <w:noWrap w:val="0"/>
                            <w:vAlign w:val="center"/>
                          </w:tcPr>
                          <w:p>
                            <w:pPr>
                              <w:jc w:val="both"/>
                            </w:pPr>
                            <w:r>
                              <w:rPr>
                                <w:rFonts w:ascii="Arial" w:hAnsi="Arial" w:cs="Arial"/>
                                <w:sz w:val="20"/>
                                <w:szCs w:val="20"/>
                              </w:rPr>
                              <w:t>Најнижа нето плата без минулог рада (у динарима)</w:t>
                            </w:r>
                          </w:p>
                        </w:tc>
                        <w:tc>
                          <w:tcPr>
                            <w:tcW w:w="2487" w:type="dxa"/>
                            <w:tcBorders>
                              <w:top w:val="single" w:color="000000" w:sz="8" w:space="0"/>
                              <w:left w:val="single" w:color="000000" w:sz="4" w:space="0"/>
                              <w:bottom w:val="single" w:color="000000" w:sz="4" w:space="0"/>
                              <w:right w:val="single" w:color="000000" w:sz="8" w:space="0"/>
                            </w:tcBorders>
                            <w:shd w:val="clear" w:color="auto" w:fill="auto"/>
                            <w:noWrap w:val="0"/>
                            <w:vAlign w:val="center"/>
                          </w:tcPr>
                          <w:p>
                            <w:pPr>
                              <w:jc w:val="both"/>
                            </w:pPr>
                            <w:r>
                              <w:rPr>
                                <w:rFonts w:ascii="Arial" w:hAnsi="Arial" w:cs="Arial"/>
                                <w:sz w:val="20"/>
                                <w:szCs w:val="20"/>
                              </w:rPr>
                              <w:t>Највиша нето плата без минулог рада (у динарима)</w:t>
                            </w:r>
                          </w:p>
                        </w:tc>
                      </w:tr>
                      <w:tr>
                        <w:tblPrEx>
                          <w:tblCellMar>
                            <w:top w:w="0" w:type="dxa"/>
                            <w:left w:w="108" w:type="dxa"/>
                            <w:bottom w:w="0" w:type="dxa"/>
                            <w:right w:w="108" w:type="dxa"/>
                          </w:tblCellMar>
                        </w:tblPrEx>
                        <w:trPr>
                          <w:trHeight w:val="463" w:hRule="atLeast"/>
                        </w:trPr>
                        <w:tc>
                          <w:tcPr>
                            <w:tcW w:w="2156" w:type="dxa"/>
                            <w:tcBorders>
                              <w:left w:val="single" w:color="000000" w:sz="8" w:space="0"/>
                              <w:bottom w:val="single" w:color="000000" w:sz="4" w:space="0"/>
                            </w:tcBorders>
                            <w:shd w:val="clear" w:color="auto" w:fill="auto"/>
                            <w:noWrap w:val="0"/>
                            <w:vAlign w:val="bottom"/>
                          </w:tcPr>
                          <w:p>
                            <w:r>
                              <w:rPr>
                                <w:rFonts w:ascii="Arial" w:hAnsi="Arial" w:cs="Arial"/>
                                <w:sz w:val="20"/>
                                <w:szCs w:val="20"/>
                              </w:rPr>
                              <w:t>Самостални саветник</w:t>
                            </w:r>
                          </w:p>
                        </w:tc>
                        <w:tc>
                          <w:tcPr>
                            <w:tcW w:w="2195" w:type="dxa"/>
                            <w:tcBorders>
                              <w:left w:val="single" w:color="000000" w:sz="4" w:space="0"/>
                              <w:bottom w:val="single" w:color="000000" w:sz="4" w:space="0"/>
                            </w:tcBorders>
                            <w:shd w:val="clear" w:color="auto" w:fill="auto"/>
                            <w:noWrap w:val="0"/>
                            <w:vAlign w:val="bottom"/>
                          </w:tcPr>
                          <w:p>
                            <w:pPr>
                              <w:jc w:val="right"/>
                            </w:pPr>
                            <w:r>
                              <w:rPr>
                                <w:rFonts w:ascii="Arial" w:hAnsi="Arial" w:cs="Arial"/>
                                <w:sz w:val="20"/>
                                <w:szCs w:val="20"/>
                                <w:lang w:val="en-GB"/>
                              </w:rPr>
                              <w:t>76.435,94</w:t>
                            </w:r>
                          </w:p>
                        </w:tc>
                        <w:tc>
                          <w:tcPr>
                            <w:tcW w:w="2487" w:type="dxa"/>
                            <w:tcBorders>
                              <w:left w:val="single" w:color="000000" w:sz="4" w:space="0"/>
                              <w:bottom w:val="single" w:color="000000" w:sz="4" w:space="0"/>
                              <w:right w:val="single" w:color="000000" w:sz="8" w:space="0"/>
                            </w:tcBorders>
                            <w:shd w:val="clear" w:color="auto" w:fill="auto"/>
                            <w:noWrap w:val="0"/>
                            <w:vAlign w:val="bottom"/>
                          </w:tcPr>
                          <w:p>
                            <w:pPr>
                              <w:jc w:val="right"/>
                            </w:pPr>
                            <w:r>
                              <w:rPr>
                                <w:rFonts w:ascii="Arial" w:hAnsi="Arial" w:cs="Arial"/>
                                <w:sz w:val="20"/>
                                <w:szCs w:val="20"/>
                                <w:lang w:val="en-GB"/>
                              </w:rPr>
                              <w:t>76.435,94</w:t>
                            </w:r>
                          </w:p>
                        </w:tc>
                      </w:tr>
                      <w:tr>
                        <w:tblPrEx>
                          <w:tblCellMar>
                            <w:top w:w="0" w:type="dxa"/>
                            <w:left w:w="108" w:type="dxa"/>
                            <w:bottom w:w="0" w:type="dxa"/>
                            <w:right w:w="108" w:type="dxa"/>
                          </w:tblCellMar>
                        </w:tblPrEx>
                        <w:trPr>
                          <w:trHeight w:val="262" w:hRule="atLeast"/>
                        </w:trPr>
                        <w:tc>
                          <w:tcPr>
                            <w:tcW w:w="2156" w:type="dxa"/>
                            <w:tcBorders>
                              <w:left w:val="single" w:color="000000" w:sz="8" w:space="0"/>
                              <w:bottom w:val="single" w:color="000000" w:sz="4" w:space="0"/>
                            </w:tcBorders>
                            <w:shd w:val="clear" w:color="auto" w:fill="auto"/>
                            <w:noWrap w:val="0"/>
                            <w:vAlign w:val="bottom"/>
                          </w:tcPr>
                          <w:p>
                            <w:r>
                              <w:rPr>
                                <w:rFonts w:ascii="Arial" w:hAnsi="Arial" w:cs="Arial"/>
                                <w:sz w:val="20"/>
                                <w:szCs w:val="20"/>
                              </w:rPr>
                              <w:t>Референт</w:t>
                            </w:r>
                          </w:p>
                        </w:tc>
                        <w:tc>
                          <w:tcPr>
                            <w:tcW w:w="2195" w:type="dxa"/>
                            <w:tcBorders>
                              <w:left w:val="single" w:color="000000" w:sz="4" w:space="0"/>
                              <w:bottom w:val="single" w:color="000000" w:sz="4" w:space="0"/>
                            </w:tcBorders>
                            <w:shd w:val="clear" w:color="auto" w:fill="auto"/>
                            <w:noWrap w:val="0"/>
                            <w:vAlign w:val="bottom"/>
                          </w:tcPr>
                          <w:p>
                            <w:pPr>
                              <w:jc w:val="right"/>
                            </w:pPr>
                            <w:r>
                              <w:rPr>
                                <w:rFonts w:ascii="Arial" w:hAnsi="Arial" w:cs="Arial"/>
                                <w:sz w:val="20"/>
                                <w:szCs w:val="20"/>
                                <w:lang w:val="en-GB"/>
                              </w:rPr>
                              <w:t>37.492,31</w:t>
                            </w:r>
                          </w:p>
                        </w:tc>
                        <w:tc>
                          <w:tcPr>
                            <w:tcW w:w="2487" w:type="dxa"/>
                            <w:tcBorders>
                              <w:left w:val="single" w:color="000000" w:sz="4" w:space="0"/>
                              <w:bottom w:val="single" w:color="000000" w:sz="4" w:space="0"/>
                              <w:right w:val="single" w:color="000000" w:sz="8" w:space="0"/>
                            </w:tcBorders>
                            <w:shd w:val="clear" w:color="auto" w:fill="auto"/>
                            <w:noWrap w:val="0"/>
                            <w:vAlign w:val="bottom"/>
                          </w:tcPr>
                          <w:p>
                            <w:pPr>
                              <w:jc w:val="right"/>
                            </w:pPr>
                            <w:r>
                              <w:rPr>
                                <w:rFonts w:ascii="Arial" w:hAnsi="Arial" w:cs="Arial"/>
                                <w:sz w:val="20"/>
                                <w:szCs w:val="20"/>
                                <w:lang w:val="en-GB"/>
                              </w:rPr>
                              <w:t>52.489,24</w:t>
                            </w:r>
                          </w:p>
                        </w:tc>
                      </w:tr>
                      <w:tr>
                        <w:tblPrEx>
                          <w:tblCellMar>
                            <w:top w:w="0" w:type="dxa"/>
                            <w:left w:w="108" w:type="dxa"/>
                            <w:bottom w:w="0" w:type="dxa"/>
                            <w:right w:w="108" w:type="dxa"/>
                          </w:tblCellMar>
                        </w:tblPrEx>
                        <w:trPr>
                          <w:trHeight w:val="948" w:hRule="atLeast"/>
                        </w:trPr>
                        <w:tc>
                          <w:tcPr>
                            <w:tcW w:w="2156" w:type="dxa"/>
                            <w:tcBorders>
                              <w:left w:val="single" w:color="000000" w:sz="8" w:space="0"/>
                              <w:bottom w:val="single" w:color="000000" w:sz="8" w:space="0"/>
                            </w:tcBorders>
                            <w:shd w:val="clear" w:color="auto" w:fill="auto"/>
                            <w:noWrap w:val="0"/>
                            <w:vAlign w:val="bottom"/>
                          </w:tcPr>
                          <w:p>
                            <w:r>
                              <w:rPr>
                                <w:rFonts w:ascii="Arial" w:hAnsi="Arial" w:cs="Arial"/>
                                <w:sz w:val="20"/>
                                <w:szCs w:val="20"/>
                              </w:rPr>
                              <w:t>Намештеник</w:t>
                            </w:r>
                          </w:p>
                        </w:tc>
                        <w:tc>
                          <w:tcPr>
                            <w:tcW w:w="2195" w:type="dxa"/>
                            <w:tcBorders>
                              <w:left w:val="single" w:color="000000" w:sz="4" w:space="0"/>
                              <w:bottom w:val="single" w:color="000000" w:sz="8" w:space="0"/>
                            </w:tcBorders>
                            <w:shd w:val="clear" w:color="auto" w:fill="auto"/>
                            <w:noWrap w:val="0"/>
                            <w:vAlign w:val="bottom"/>
                          </w:tcPr>
                          <w:p>
                            <w:r>
                              <w:rPr>
                                <w:rFonts w:ascii="Arial" w:hAnsi="Arial" w:cs="Arial"/>
                                <w:sz w:val="20"/>
                                <w:szCs w:val="20"/>
                              </w:rPr>
                              <w:t xml:space="preserve">Минималац – нето </w:t>
                            </w:r>
                            <w:r>
                              <w:rPr>
                                <w:rFonts w:ascii="Open Sans" w:hAnsi="Open Sans" w:cs="Open Sans"/>
                                <w:color w:val="6D7993"/>
                                <w:sz w:val="21"/>
                                <w:szCs w:val="20"/>
                              </w:rPr>
                              <w:t>29.428,80</w:t>
                            </w:r>
                            <w:r>
                              <w:rPr>
                                <w:rFonts w:ascii="Arial" w:hAnsi="Arial" w:cs="Arial"/>
                                <w:sz w:val="20"/>
                                <w:szCs w:val="20"/>
                              </w:rPr>
                              <w:t xml:space="preserve">  </w:t>
                            </w:r>
                          </w:p>
                          <w:p>
                            <w:r>
                              <w:rPr>
                                <w:rFonts w:ascii="Arial" w:hAnsi="Arial" w:cs="Arial"/>
                                <w:sz w:val="20"/>
                                <w:szCs w:val="20"/>
                              </w:rPr>
                              <w:t>За 160 часова</w:t>
                            </w:r>
                          </w:p>
                        </w:tc>
                        <w:tc>
                          <w:tcPr>
                            <w:tcW w:w="2487" w:type="dxa"/>
                            <w:tcBorders>
                              <w:left w:val="single" w:color="000000" w:sz="4" w:space="0"/>
                              <w:bottom w:val="single" w:color="000000" w:sz="8" w:space="0"/>
                              <w:right w:val="single" w:color="000000" w:sz="8" w:space="0"/>
                            </w:tcBorders>
                            <w:shd w:val="clear" w:color="auto" w:fill="auto"/>
                            <w:noWrap w:val="0"/>
                            <w:vAlign w:val="bottom"/>
                          </w:tcPr>
                          <w:p>
                            <w:pPr>
                              <w:jc w:val="center"/>
                            </w:pPr>
                            <w:r>
                              <w:rPr>
                                <w:rFonts w:ascii="Arial" w:hAnsi="Arial" w:cs="Arial"/>
                                <w:sz w:val="20"/>
                                <w:szCs w:val="20"/>
                              </w:rPr>
                              <w:t>Минималац - нето</w:t>
                            </w:r>
                          </w:p>
                          <w:p>
                            <w:pPr>
                              <w:jc w:val="center"/>
                            </w:pPr>
                            <w:r>
                              <w:rPr>
                                <w:rFonts w:ascii="Open Sans" w:hAnsi="Open Sans" w:cs="Open Sans"/>
                                <w:color w:val="6D7993"/>
                                <w:sz w:val="21"/>
                                <w:szCs w:val="20"/>
                              </w:rPr>
                              <w:t>33.843,12</w:t>
                            </w:r>
                            <w:r>
                              <w:rPr>
                                <w:rFonts w:ascii="Arial" w:hAnsi="Arial" w:cs="Arial"/>
                                <w:sz w:val="20"/>
                                <w:szCs w:val="20"/>
                              </w:rPr>
                              <w:t xml:space="preserve"> </w:t>
                            </w:r>
                          </w:p>
                          <w:p>
                            <w:pPr>
                              <w:jc w:val="center"/>
                            </w:pPr>
                            <w:r>
                              <w:rPr>
                                <w:rFonts w:ascii="Arial" w:hAnsi="Arial" w:cs="Arial"/>
                                <w:sz w:val="20"/>
                                <w:szCs w:val="20"/>
                              </w:rPr>
                              <w:t>За 184 часова</w:t>
                            </w:r>
                          </w:p>
                          <w:p>
                            <w:pPr>
                              <w:jc w:val="center"/>
                              <w:rPr>
                                <w:rFonts w:ascii="Arial" w:hAnsi="Arial" w:cs="Arial"/>
                                <w:sz w:val="20"/>
                                <w:szCs w:val="20"/>
                              </w:rPr>
                            </w:pPr>
                          </w:p>
                        </w:tc>
                      </w:tr>
                    </w:tbl>
                    <w:p>
                      <w:r>
                        <w:t xml:space="preserve"> </w:t>
                      </w:r>
                    </w:p>
                  </w:txbxContent>
                </v:textbox>
                <w10:wrap type="square"/>
              </v:shape>
            </w:pict>
          </mc:Fallback>
        </mc:AlternateContent>
      </w:r>
    </w:p>
    <w:p>
      <w:pPr>
        <w:jc w:val="both"/>
      </w:pPr>
      <w:r>
        <w:rPr>
          <w:lang w:val="sr-Latn-RS"/>
        </w:rPr>
        <w:tab/>
      </w:r>
      <w:r>
        <w:rPr>
          <w:lang w:val="sr-Latn-RS"/>
        </w:rPr>
        <w:tab/>
      </w:r>
      <w:r>
        <w:rPr>
          <w:lang w:val="sr-Latn-RS"/>
        </w:rPr>
        <w:tab/>
      </w:r>
    </w:p>
    <w:p>
      <w:pPr>
        <w:jc w:val="both"/>
      </w:pPr>
      <w:r>
        <w:rPr>
          <w:lang w:val="sr-Latn-RS"/>
        </w:rPr>
        <w:tab/>
      </w:r>
      <w:r>
        <w:rPr>
          <w:lang w:val="sr-Latn-RS"/>
        </w:rPr>
        <w:tab/>
      </w:r>
      <w:r>
        <w:rPr>
          <w:lang w:val="sr-Latn-RS"/>
        </w:rPr>
        <w:tab/>
      </w:r>
    </w:p>
    <w:p>
      <w:pPr>
        <w:jc w:val="both"/>
        <w:rPr>
          <w:lang w:val="sr-Latn-RS"/>
        </w:rPr>
      </w:pPr>
    </w:p>
    <w:p>
      <w:pPr>
        <w:jc w:val="both"/>
        <w:rPr>
          <w:lang w:val="sr-Latn-RS"/>
        </w:rPr>
      </w:pPr>
    </w:p>
    <w:p>
      <w:pPr>
        <w:jc w:val="both"/>
        <w:rPr>
          <w:lang w:val="sr-Latn-RS"/>
        </w:rPr>
      </w:pPr>
    </w:p>
    <w:p>
      <w:pPr>
        <w:jc w:val="both"/>
        <w:rPr>
          <w:lang w:val="sr-Latn-RS"/>
        </w:rPr>
      </w:pPr>
    </w:p>
    <w:p>
      <w:pPr>
        <w:jc w:val="both"/>
        <w:rPr>
          <w:lang w:val="sr-Latn-RS"/>
        </w:rPr>
      </w:pPr>
    </w:p>
    <w:p>
      <w:pPr>
        <w:jc w:val="both"/>
        <w:rPr>
          <w:lang w:val="sr-Latn-RS"/>
        </w:rPr>
      </w:pPr>
    </w:p>
    <w:p>
      <w:pPr>
        <w:jc w:val="right"/>
        <w:rPr>
          <w:lang w:val="sr-Latn-RS"/>
        </w:rPr>
      </w:pPr>
    </w:p>
    <w:p>
      <w:pPr>
        <w:jc w:val="both"/>
      </w:pPr>
      <w:r>
        <w:rPr>
          <w:lang w:val="sr-Latn-RS"/>
        </w:rPr>
        <w:tab/>
      </w:r>
      <w:r>
        <w:rPr>
          <w:lang w:val="sr-Latn-RS"/>
        </w:rPr>
        <w:t>Наведени износи плата увећавају се за додатак по основу времена проведеног на раду (минули рад) у износу од 0,4% за сваку навршену годину рада у радном односу код послодавца. Висина зараде запослених који имају исто звање разликује се с обзиром да у оквиру сваког звања постоји осам платних разреда, сходно Законом о платама државних службеника и намештеника.</w:t>
      </w:r>
    </w:p>
    <w:p>
      <w:pPr>
        <w:jc w:val="both"/>
        <w:rPr>
          <w:lang w:val="sr-Latn-RS"/>
        </w:rPr>
      </w:pPr>
    </w:p>
    <w:p>
      <w:pPr>
        <w:jc w:val="both"/>
        <w:rPr>
          <w:lang w:val="sr-Latn-RS"/>
        </w:rPr>
      </w:pPr>
    </w:p>
    <w:p>
      <w:pPr>
        <w:jc w:val="both"/>
        <w:rPr>
          <w:lang w:val="sr-Latn-RS"/>
        </w:rPr>
      </w:pPr>
    </w:p>
    <w:p>
      <w:pPr>
        <w:jc w:val="center"/>
      </w:pPr>
      <w:r>
        <w:rPr>
          <w:lang w:val="sr-Latn-RS"/>
        </w:rPr>
        <w:t>ПОДАЦИ О ЈАВНИМ НАБАВКАМА</w:t>
      </w:r>
    </w:p>
    <w:p>
      <w:pPr>
        <w:jc w:val="center"/>
        <w:rPr>
          <w:lang w:val="sr-Latn-RS"/>
        </w:rPr>
      </w:pPr>
    </w:p>
    <w:p>
      <w:pPr>
        <w:jc w:val="both"/>
      </w:pPr>
      <w:r>
        <w:rPr>
          <w:lang w:val="sr-Latn-RS"/>
        </w:rPr>
        <w:tab/>
      </w:r>
      <w:r>
        <w:rPr>
          <w:lang w:val="sr-Latn-RS"/>
        </w:rPr>
        <w:t>У табели је представљен план јавних набавки за 202</w:t>
      </w:r>
      <w:r>
        <w:rPr>
          <w:lang w:val="en-GB"/>
        </w:rPr>
        <w:t>2</w:t>
      </w:r>
      <w:r>
        <w:rPr>
          <w:lang w:val="sr-Latn-RS"/>
        </w:rPr>
        <w:t xml:space="preserve">. годину за Основно јавно тужилаштво у Куршумлији  и план јавних набавки за </w:t>
      </w:r>
      <w:r>
        <w:rPr>
          <w:lang w:val="en-GB"/>
        </w:rPr>
        <w:t>2022</w:t>
      </w:r>
      <w:r>
        <w:rPr>
          <w:lang w:val="sr-Latn-RS"/>
        </w:rPr>
        <w:t>- годину.</w:t>
      </w:r>
    </w:p>
    <w:p>
      <w:pPr>
        <w:jc w:val="both"/>
        <w:rPr>
          <w:lang w:val="sr-Latn-RS"/>
        </w:rPr>
      </w:pPr>
    </w:p>
    <w:p>
      <w:pPr>
        <w:jc w:val="both"/>
      </w:pPr>
      <w:r>
        <w:rPr>
          <w:lang w:val="sr-Latn-RS"/>
        </w:rPr>
        <w:tab/>
      </w:r>
      <w:r>
        <w:rPr>
          <w:lang w:val="sr-Latn-RS"/>
        </w:rPr>
        <w:t>За набавку опреме у 2022</w:t>
      </w:r>
      <w:r>
        <w:t>.</w:t>
      </w:r>
      <w:r>
        <w:rPr>
          <w:lang w:val="sr-Latn-RS"/>
        </w:rPr>
        <w:t xml:space="preserve"> години одобрена су средства у износу од 100.000,00 динара </w:t>
      </w:r>
      <w:r>
        <w:t>и набављена је клима уређај у износу од 53.000,00 динара који је инсталиран у канцеларији бр.14.</w:t>
      </w:r>
    </w:p>
    <w:p>
      <w:pPr>
        <w:jc w:val="both"/>
      </w:pPr>
      <w:r>
        <w:rPr>
          <w:lang w:val="sr-Latn-RS"/>
        </w:rPr>
        <w:tab/>
      </w:r>
      <w:r>
        <w:rPr>
          <w:lang w:val="sr-Latn-RS"/>
        </w:rPr>
        <w:t xml:space="preserve">                                      </w:t>
      </w:r>
    </w:p>
    <w:p>
      <w:pPr>
        <w:jc w:val="both"/>
        <w:rPr>
          <w:lang w:val="sr-Latn-RS"/>
        </w:rPr>
      </w:pPr>
    </w:p>
    <w:p>
      <w:pPr>
        <w:jc w:val="center"/>
        <w:rPr>
          <w:lang w:val="sr-Latn-RS"/>
        </w:rPr>
      </w:pPr>
    </w:p>
    <w:p>
      <w:pPr>
        <w:jc w:val="center"/>
        <w:rPr>
          <w:lang w:val="sr-Latn-RS"/>
        </w:rPr>
      </w:pPr>
    </w:p>
    <w:p>
      <w:pPr>
        <w:jc w:val="center"/>
        <w:rPr>
          <w:lang w:val="sr-Latn-RS"/>
        </w:rPr>
      </w:pPr>
    </w:p>
    <w:p>
      <w:pPr>
        <w:jc w:val="center"/>
        <w:rPr>
          <w:lang w:val="sr-Latn-RS"/>
        </w:rPr>
      </w:pPr>
    </w:p>
    <w:p>
      <w:pPr>
        <w:jc w:val="center"/>
        <w:rPr>
          <w:lang w:val="sr-Latn-RS"/>
        </w:rPr>
      </w:pPr>
    </w:p>
    <w:p>
      <w:pPr>
        <w:jc w:val="center"/>
        <w:rPr>
          <w:lang w:val="sr-Latn-RS"/>
        </w:rPr>
      </w:pPr>
    </w:p>
    <w:p>
      <w:pPr>
        <w:jc w:val="center"/>
        <w:rPr>
          <w:lang w:val="sr-Latn-RS"/>
        </w:rPr>
      </w:pPr>
    </w:p>
    <w:p>
      <w:pPr>
        <w:jc w:val="center"/>
        <w:rPr>
          <w:lang w:val="sr-Latn-RS"/>
        </w:rPr>
      </w:pPr>
    </w:p>
    <w:p>
      <w:pPr>
        <w:jc w:val="center"/>
      </w:pPr>
      <w:r>
        <w:rPr>
          <w:lang w:val="sr-Latn-RS"/>
        </w:rPr>
        <w:t>ПОДАЦИ О СРЕДСТВИМА РАДА</w:t>
      </w:r>
    </w:p>
    <w:p>
      <w:pPr>
        <w:jc w:val="center"/>
        <w:rPr>
          <w:lang w:val="sr-Latn-RS"/>
        </w:rPr>
      </w:pPr>
    </w:p>
    <w:p>
      <w:pPr>
        <w:jc w:val="center"/>
        <w:rPr>
          <w:lang w:val="sr-Latn-RS"/>
        </w:rPr>
      </w:pPr>
    </w:p>
    <w:p>
      <w:pPr>
        <w:jc w:val="both"/>
      </w:pPr>
      <w:r>
        <w:rPr>
          <w:lang w:val="sr-Latn-RS"/>
        </w:rPr>
        <w:tab/>
      </w:r>
      <w:r>
        <w:rPr>
          <w:lang w:val="sr-Latn-RS"/>
        </w:rPr>
        <w:t>Подаци за 202</w:t>
      </w:r>
      <w:r>
        <w:rPr>
          <w:lang w:val="en-GB"/>
        </w:rPr>
        <w:t>2</w:t>
      </w:r>
      <w:r>
        <w:t>.</w:t>
      </w:r>
      <w:r>
        <w:rPr>
          <w:lang w:val="sr-Latn-RS"/>
        </w:rPr>
        <w:t>.годину према Попису имовине и обавеза са стањем на дан 31/12/20</w:t>
      </w:r>
      <w:r>
        <w:t>2</w:t>
      </w:r>
      <w:r>
        <w:rPr>
          <w:lang w:val="en-GB"/>
        </w:rPr>
        <w:t>2</w:t>
      </w:r>
      <w:r>
        <w:rPr>
          <w:lang w:val="sr-Latn-RS"/>
        </w:rPr>
        <w:t>. године:</w:t>
      </w:r>
    </w:p>
    <w:p>
      <w:pPr>
        <w:jc w:val="both"/>
        <w:rPr>
          <w:lang w:val="sr-Latn-RS"/>
        </w:rPr>
      </w:pPr>
    </w:p>
    <w:tbl>
      <w:tblPr>
        <w:tblStyle w:val="3"/>
        <w:tblW w:w="7818" w:type="dxa"/>
        <w:tblInd w:w="996" w:type="dxa"/>
        <w:tblLayout w:type="fixed"/>
        <w:tblCellMar>
          <w:top w:w="0" w:type="dxa"/>
          <w:left w:w="108" w:type="dxa"/>
          <w:bottom w:w="0" w:type="dxa"/>
          <w:right w:w="108" w:type="dxa"/>
        </w:tblCellMar>
      </w:tblPr>
      <w:tblGrid>
        <w:gridCol w:w="2137"/>
        <w:gridCol w:w="2176"/>
        <w:gridCol w:w="2426"/>
        <w:gridCol w:w="1079"/>
      </w:tblGrid>
      <w:tr>
        <w:tblPrEx>
          <w:tblCellMar>
            <w:top w:w="0" w:type="dxa"/>
            <w:left w:w="108" w:type="dxa"/>
            <w:bottom w:w="0" w:type="dxa"/>
            <w:right w:w="108" w:type="dxa"/>
          </w:tblCellMar>
        </w:tblPrEx>
        <w:trPr>
          <w:trHeight w:val="465" w:hRule="atLeast"/>
        </w:trPr>
        <w:tc>
          <w:tcPr>
            <w:tcW w:w="2137" w:type="dxa"/>
            <w:tcBorders>
              <w:top w:val="single" w:color="000000" w:sz="8" w:space="0"/>
              <w:left w:val="single" w:color="000000" w:sz="8" w:space="0"/>
              <w:bottom w:val="single" w:color="000000" w:sz="4" w:space="0"/>
            </w:tcBorders>
            <w:shd w:val="clear" w:color="auto" w:fill="auto"/>
            <w:noWrap w:val="0"/>
            <w:vAlign w:val="bottom"/>
          </w:tcPr>
          <w:p>
            <w:pPr>
              <w:jc w:val="center"/>
            </w:pPr>
            <w:r>
              <w:rPr>
                <w:rFonts w:ascii="Arial" w:hAnsi="Arial" w:cs="Arial"/>
                <w:sz w:val="20"/>
                <w:szCs w:val="20"/>
              </w:rPr>
              <w:t>Назив</w:t>
            </w:r>
          </w:p>
        </w:tc>
        <w:tc>
          <w:tcPr>
            <w:tcW w:w="2176" w:type="dxa"/>
            <w:tcBorders>
              <w:top w:val="single" w:color="000000" w:sz="8" w:space="0"/>
              <w:left w:val="single" w:color="000000" w:sz="4" w:space="0"/>
              <w:bottom w:val="single" w:color="000000" w:sz="4" w:space="0"/>
            </w:tcBorders>
            <w:shd w:val="clear" w:color="auto" w:fill="auto"/>
            <w:noWrap w:val="0"/>
            <w:vAlign w:val="bottom"/>
          </w:tcPr>
          <w:p>
            <w:pPr>
              <w:jc w:val="center"/>
            </w:pPr>
            <w:r>
              <w:rPr>
                <w:rFonts w:ascii="Arial" w:hAnsi="Arial" w:cs="Arial"/>
                <w:sz w:val="20"/>
                <w:szCs w:val="20"/>
              </w:rPr>
              <w:t>набавна вредност</w:t>
            </w:r>
          </w:p>
        </w:tc>
        <w:tc>
          <w:tcPr>
            <w:tcW w:w="2426" w:type="dxa"/>
            <w:tcBorders>
              <w:top w:val="single" w:color="000000" w:sz="8" w:space="0"/>
              <w:left w:val="single" w:color="000000" w:sz="4" w:space="0"/>
              <w:bottom w:val="single" w:color="000000" w:sz="4" w:space="0"/>
            </w:tcBorders>
            <w:shd w:val="clear" w:color="auto" w:fill="auto"/>
            <w:noWrap w:val="0"/>
            <w:vAlign w:val="bottom"/>
          </w:tcPr>
          <w:p>
            <w:pPr>
              <w:jc w:val="center"/>
            </w:pPr>
            <w:r>
              <w:rPr>
                <w:rFonts w:ascii="Arial" w:hAnsi="Arial" w:cs="Arial"/>
                <w:sz w:val="20"/>
                <w:szCs w:val="20"/>
              </w:rPr>
              <w:t xml:space="preserve">садашња вредност </w:t>
            </w:r>
          </w:p>
        </w:tc>
        <w:tc>
          <w:tcPr>
            <w:tcW w:w="1079" w:type="dxa"/>
            <w:tcBorders>
              <w:top w:val="single" w:color="000000" w:sz="8" w:space="0"/>
              <w:left w:val="single" w:color="000000" w:sz="4" w:space="0"/>
              <w:bottom w:val="single" w:color="000000" w:sz="4" w:space="0"/>
              <w:right w:val="single" w:color="000000" w:sz="8" w:space="0"/>
            </w:tcBorders>
            <w:shd w:val="clear" w:color="auto" w:fill="auto"/>
            <w:noWrap w:val="0"/>
            <w:vAlign w:val="bottom"/>
          </w:tcPr>
          <w:p>
            <w:pPr>
              <w:jc w:val="center"/>
            </w:pPr>
            <w:r>
              <w:rPr>
                <w:rFonts w:ascii="Arial" w:hAnsi="Arial" w:cs="Arial"/>
                <w:sz w:val="20"/>
                <w:szCs w:val="20"/>
              </w:rPr>
              <w:t>количина</w:t>
            </w:r>
          </w:p>
        </w:tc>
      </w:tr>
      <w:tr>
        <w:tblPrEx>
          <w:tblCellMar>
            <w:top w:w="0" w:type="dxa"/>
            <w:left w:w="108" w:type="dxa"/>
            <w:bottom w:w="0" w:type="dxa"/>
            <w:right w:w="108" w:type="dxa"/>
          </w:tblCellMar>
        </w:tblPrEx>
        <w:trPr>
          <w:trHeight w:val="255" w:hRule="atLeast"/>
        </w:trPr>
        <w:tc>
          <w:tcPr>
            <w:tcW w:w="2137" w:type="dxa"/>
            <w:tcBorders>
              <w:left w:val="single" w:color="000000" w:sz="8" w:space="0"/>
              <w:bottom w:val="single" w:color="000000" w:sz="4" w:space="0"/>
            </w:tcBorders>
            <w:shd w:val="clear" w:color="auto" w:fill="auto"/>
            <w:noWrap w:val="0"/>
            <w:vAlign w:val="bottom"/>
          </w:tcPr>
          <w:p>
            <w:pPr>
              <w:jc w:val="center"/>
            </w:pPr>
            <w:r>
              <w:rPr>
                <w:rFonts w:ascii="Arial" w:hAnsi="Arial" w:cs="Arial"/>
                <w:sz w:val="20"/>
                <w:szCs w:val="20"/>
              </w:rPr>
              <w:t>Канцеларијска опрема</w:t>
            </w:r>
          </w:p>
        </w:tc>
        <w:tc>
          <w:tcPr>
            <w:tcW w:w="2176" w:type="dxa"/>
            <w:tcBorders>
              <w:left w:val="single" w:color="000000" w:sz="4" w:space="0"/>
              <w:bottom w:val="single" w:color="000000" w:sz="4" w:space="0"/>
            </w:tcBorders>
            <w:shd w:val="clear" w:color="auto" w:fill="auto"/>
            <w:noWrap w:val="0"/>
            <w:vAlign w:val="bottom"/>
          </w:tcPr>
          <w:p>
            <w:pPr>
              <w:jc w:val="center"/>
              <w:rPr>
                <w:lang w:val="en-GB"/>
              </w:rPr>
            </w:pPr>
            <w:r>
              <w:rPr>
                <w:rFonts w:ascii="Arial" w:hAnsi="Arial" w:cs="Arial"/>
                <w:sz w:val="20"/>
                <w:szCs w:val="20"/>
                <w:lang w:val="en-GB"/>
              </w:rPr>
              <w:t>166.820,00</w:t>
            </w:r>
          </w:p>
        </w:tc>
        <w:tc>
          <w:tcPr>
            <w:tcW w:w="2426" w:type="dxa"/>
            <w:tcBorders>
              <w:left w:val="single" w:color="000000" w:sz="4" w:space="0"/>
              <w:bottom w:val="single" w:color="000000" w:sz="4" w:space="0"/>
            </w:tcBorders>
            <w:shd w:val="clear" w:color="auto" w:fill="auto"/>
            <w:noWrap w:val="0"/>
            <w:vAlign w:val="bottom"/>
          </w:tcPr>
          <w:p>
            <w:pPr>
              <w:jc w:val="center"/>
              <w:rPr>
                <w:lang w:val="en-GB"/>
              </w:rPr>
            </w:pPr>
            <w:r>
              <w:rPr>
                <w:rFonts w:ascii="Arial" w:hAnsi="Arial" w:cs="Arial"/>
                <w:sz w:val="20"/>
                <w:szCs w:val="20"/>
                <w:lang w:val="en-GB"/>
              </w:rPr>
              <w:t>34.779,67</w:t>
            </w:r>
          </w:p>
        </w:tc>
        <w:tc>
          <w:tcPr>
            <w:tcW w:w="1079" w:type="dxa"/>
            <w:tcBorders>
              <w:left w:val="single" w:color="000000" w:sz="4" w:space="0"/>
              <w:bottom w:val="single" w:color="000000" w:sz="4" w:space="0"/>
              <w:right w:val="single" w:color="000000" w:sz="8" w:space="0"/>
            </w:tcBorders>
            <w:shd w:val="clear" w:color="auto" w:fill="auto"/>
            <w:noWrap w:val="0"/>
            <w:vAlign w:val="bottom"/>
          </w:tcPr>
          <w:p>
            <w:pPr>
              <w:jc w:val="center"/>
            </w:pPr>
            <w:r>
              <w:rPr>
                <w:rFonts w:ascii="Arial" w:hAnsi="Arial" w:cs="Arial"/>
                <w:sz w:val="20"/>
                <w:szCs w:val="20"/>
              </w:rPr>
              <w:t>3</w:t>
            </w:r>
          </w:p>
        </w:tc>
      </w:tr>
      <w:tr>
        <w:tblPrEx>
          <w:tblCellMar>
            <w:top w:w="0" w:type="dxa"/>
            <w:left w:w="108" w:type="dxa"/>
            <w:bottom w:w="0" w:type="dxa"/>
            <w:right w:w="108" w:type="dxa"/>
          </w:tblCellMar>
        </w:tblPrEx>
        <w:trPr>
          <w:trHeight w:val="270" w:hRule="atLeast"/>
        </w:trPr>
        <w:tc>
          <w:tcPr>
            <w:tcW w:w="2137" w:type="dxa"/>
            <w:tcBorders>
              <w:left w:val="single" w:color="000000" w:sz="8" w:space="0"/>
            </w:tcBorders>
            <w:shd w:val="clear" w:color="auto" w:fill="auto"/>
            <w:noWrap w:val="0"/>
            <w:vAlign w:val="bottom"/>
          </w:tcPr>
          <w:p>
            <w:pPr>
              <w:jc w:val="center"/>
            </w:pPr>
            <w:r>
              <w:rPr>
                <w:rFonts w:ascii="Arial" w:hAnsi="Arial" w:cs="Arial"/>
                <w:sz w:val="20"/>
                <w:szCs w:val="20"/>
              </w:rPr>
              <w:t>Рачунарска опрема</w:t>
            </w:r>
          </w:p>
        </w:tc>
        <w:tc>
          <w:tcPr>
            <w:tcW w:w="2176" w:type="dxa"/>
            <w:tcBorders>
              <w:left w:val="single" w:color="000000" w:sz="4" w:space="0"/>
            </w:tcBorders>
            <w:shd w:val="clear" w:color="auto" w:fill="auto"/>
            <w:noWrap w:val="0"/>
            <w:vAlign w:val="bottom"/>
          </w:tcPr>
          <w:p>
            <w:pPr>
              <w:jc w:val="center"/>
              <w:rPr>
                <w:lang w:val="en-GB"/>
              </w:rPr>
            </w:pPr>
            <w:r>
              <w:rPr>
                <w:rFonts w:ascii="Arial" w:hAnsi="Arial" w:cs="Arial"/>
                <w:sz w:val="20"/>
                <w:szCs w:val="20"/>
                <w:lang w:val="en-GB"/>
              </w:rPr>
              <w:t>422.162,00</w:t>
            </w:r>
          </w:p>
        </w:tc>
        <w:tc>
          <w:tcPr>
            <w:tcW w:w="2426" w:type="dxa"/>
            <w:tcBorders>
              <w:left w:val="single" w:color="000000" w:sz="4" w:space="0"/>
            </w:tcBorders>
            <w:shd w:val="clear" w:color="auto" w:fill="auto"/>
            <w:noWrap w:val="0"/>
            <w:vAlign w:val="bottom"/>
          </w:tcPr>
          <w:p>
            <w:pPr>
              <w:jc w:val="center"/>
              <w:rPr>
                <w:lang w:val="en-GB"/>
              </w:rPr>
            </w:pPr>
            <w:r>
              <w:rPr>
                <w:rFonts w:ascii="Arial" w:hAnsi="Arial" w:cs="Arial"/>
                <w:sz w:val="20"/>
                <w:szCs w:val="20"/>
                <w:lang w:val="en-GB"/>
              </w:rPr>
              <w:t>146.820,10</w:t>
            </w:r>
          </w:p>
        </w:tc>
        <w:tc>
          <w:tcPr>
            <w:tcW w:w="1079" w:type="dxa"/>
            <w:tcBorders>
              <w:left w:val="single" w:color="000000" w:sz="4" w:space="0"/>
              <w:right w:val="single" w:color="000000" w:sz="8" w:space="0"/>
            </w:tcBorders>
            <w:shd w:val="clear" w:color="auto" w:fill="auto"/>
            <w:noWrap w:val="0"/>
            <w:vAlign w:val="bottom"/>
          </w:tcPr>
          <w:p>
            <w:pPr>
              <w:jc w:val="center"/>
            </w:pPr>
            <w:r>
              <w:rPr>
                <w:rFonts w:ascii="Arial" w:hAnsi="Arial" w:cs="Arial"/>
                <w:sz w:val="20"/>
                <w:szCs w:val="20"/>
              </w:rPr>
              <w:t>2</w:t>
            </w:r>
          </w:p>
        </w:tc>
      </w:tr>
      <w:tr>
        <w:tblPrEx>
          <w:tblCellMar>
            <w:top w:w="0" w:type="dxa"/>
            <w:left w:w="108" w:type="dxa"/>
            <w:bottom w:w="0" w:type="dxa"/>
            <w:right w:w="108" w:type="dxa"/>
          </w:tblCellMar>
        </w:tblPrEx>
        <w:trPr>
          <w:trHeight w:val="270" w:hRule="atLeast"/>
        </w:trPr>
        <w:tc>
          <w:tcPr>
            <w:tcW w:w="2137" w:type="dxa"/>
            <w:tcBorders>
              <w:left w:val="single" w:color="000000" w:sz="8" w:space="0"/>
            </w:tcBorders>
            <w:shd w:val="clear" w:color="auto" w:fill="auto"/>
            <w:noWrap w:val="0"/>
            <w:vAlign w:val="bottom"/>
          </w:tcPr>
          <w:p>
            <w:pPr>
              <w:rPr>
                <w:lang w:val="en-GB"/>
              </w:rPr>
            </w:pPr>
          </w:p>
        </w:tc>
        <w:tc>
          <w:tcPr>
            <w:tcW w:w="2176" w:type="dxa"/>
            <w:tcBorders>
              <w:left w:val="single" w:color="000000" w:sz="4" w:space="0"/>
            </w:tcBorders>
            <w:shd w:val="clear" w:color="auto" w:fill="auto"/>
            <w:noWrap w:val="0"/>
            <w:vAlign w:val="bottom"/>
          </w:tcPr>
          <w:p>
            <w:pPr>
              <w:jc w:val="center"/>
            </w:pPr>
          </w:p>
        </w:tc>
        <w:tc>
          <w:tcPr>
            <w:tcW w:w="2426" w:type="dxa"/>
            <w:tcBorders>
              <w:left w:val="single" w:color="000000" w:sz="4" w:space="0"/>
            </w:tcBorders>
            <w:shd w:val="clear" w:color="auto" w:fill="auto"/>
            <w:noWrap w:val="0"/>
            <w:vAlign w:val="bottom"/>
          </w:tcPr>
          <w:p>
            <w:pPr>
              <w:jc w:val="center"/>
            </w:pPr>
            <w:r>
              <w:rPr>
                <w:rFonts w:ascii="Arial" w:hAnsi="Arial" w:cs="Arial"/>
                <w:sz w:val="20"/>
                <w:szCs w:val="20"/>
              </w:rPr>
              <w:t>0</w:t>
            </w:r>
          </w:p>
        </w:tc>
        <w:tc>
          <w:tcPr>
            <w:tcW w:w="1079" w:type="dxa"/>
            <w:tcBorders>
              <w:left w:val="single" w:color="000000" w:sz="4" w:space="0"/>
              <w:right w:val="single" w:color="000000" w:sz="8" w:space="0"/>
            </w:tcBorders>
            <w:shd w:val="clear" w:color="auto" w:fill="auto"/>
            <w:noWrap w:val="0"/>
            <w:vAlign w:val="bottom"/>
          </w:tcPr>
          <w:p>
            <w:pPr>
              <w:jc w:val="center"/>
            </w:pPr>
            <w:r>
              <w:rPr>
                <w:rFonts w:ascii="Arial" w:hAnsi="Arial" w:cs="Arial"/>
                <w:sz w:val="20"/>
                <w:szCs w:val="20"/>
              </w:rPr>
              <w:t>1</w:t>
            </w:r>
          </w:p>
        </w:tc>
      </w:tr>
      <w:tr>
        <w:tblPrEx>
          <w:tblCellMar>
            <w:top w:w="0" w:type="dxa"/>
            <w:left w:w="108" w:type="dxa"/>
            <w:bottom w:w="0" w:type="dxa"/>
            <w:right w:w="108" w:type="dxa"/>
          </w:tblCellMar>
        </w:tblPrEx>
        <w:trPr>
          <w:trHeight w:val="270" w:hRule="atLeast"/>
        </w:trPr>
        <w:tc>
          <w:tcPr>
            <w:tcW w:w="2137" w:type="dxa"/>
            <w:tcBorders>
              <w:left w:val="single" w:color="000000" w:sz="8" w:space="0"/>
              <w:bottom w:val="single" w:color="000000" w:sz="8" w:space="0"/>
            </w:tcBorders>
            <w:shd w:val="clear" w:color="auto" w:fill="auto"/>
            <w:noWrap w:val="0"/>
            <w:vAlign w:val="bottom"/>
          </w:tcPr>
          <w:p>
            <w:pPr>
              <w:jc w:val="center"/>
            </w:pPr>
            <w:r>
              <w:rPr>
                <w:rFonts w:ascii="Arial" w:hAnsi="Arial" w:cs="Arial"/>
                <w:sz w:val="20"/>
                <w:szCs w:val="20"/>
              </w:rPr>
              <w:t>Укупно</w:t>
            </w:r>
          </w:p>
        </w:tc>
        <w:tc>
          <w:tcPr>
            <w:tcW w:w="2176" w:type="dxa"/>
            <w:tcBorders>
              <w:left w:val="single" w:color="000000" w:sz="4" w:space="0"/>
              <w:bottom w:val="single" w:color="000000" w:sz="8" w:space="0"/>
            </w:tcBorders>
            <w:shd w:val="clear" w:color="auto" w:fill="auto"/>
            <w:noWrap w:val="0"/>
            <w:vAlign w:val="bottom"/>
          </w:tcPr>
          <w:p>
            <w:pPr>
              <w:jc w:val="center"/>
              <w:rPr>
                <w:lang w:val="en-GB"/>
              </w:rPr>
            </w:pPr>
            <w:r>
              <w:rPr>
                <w:rFonts w:ascii="Arial" w:hAnsi="Arial" w:cs="Arial"/>
                <w:sz w:val="20"/>
                <w:szCs w:val="20"/>
                <w:lang w:val="en-GB"/>
              </w:rPr>
              <w:t>588.982,00</w:t>
            </w:r>
          </w:p>
        </w:tc>
        <w:tc>
          <w:tcPr>
            <w:tcW w:w="2426" w:type="dxa"/>
            <w:tcBorders>
              <w:left w:val="single" w:color="000000" w:sz="4" w:space="0"/>
              <w:bottom w:val="single" w:color="000000" w:sz="8" w:space="0"/>
            </w:tcBorders>
            <w:shd w:val="clear" w:color="auto" w:fill="auto"/>
            <w:noWrap w:val="0"/>
            <w:vAlign w:val="bottom"/>
          </w:tcPr>
          <w:p>
            <w:pPr>
              <w:jc w:val="center"/>
              <w:rPr>
                <w:lang w:val="en-GB"/>
              </w:rPr>
            </w:pPr>
            <w:r>
              <w:rPr>
                <w:rFonts w:ascii="Arial" w:hAnsi="Arial" w:cs="Arial"/>
                <w:sz w:val="20"/>
                <w:szCs w:val="20"/>
                <w:lang w:val="en-GB"/>
              </w:rPr>
              <w:t>181.599,71</w:t>
            </w:r>
          </w:p>
        </w:tc>
        <w:tc>
          <w:tcPr>
            <w:tcW w:w="1079" w:type="dxa"/>
            <w:tcBorders>
              <w:left w:val="single" w:color="000000" w:sz="4" w:space="0"/>
              <w:bottom w:val="single" w:color="000000" w:sz="8" w:space="0"/>
              <w:right w:val="single" w:color="000000" w:sz="8" w:space="0"/>
            </w:tcBorders>
            <w:shd w:val="clear" w:color="auto" w:fill="auto"/>
            <w:noWrap w:val="0"/>
            <w:vAlign w:val="bottom"/>
          </w:tcPr>
          <w:p>
            <w:pPr>
              <w:snapToGrid w:val="0"/>
              <w:jc w:val="center"/>
              <w:rPr>
                <w:rFonts w:ascii="Arial" w:hAnsi="Arial" w:cs="Arial"/>
                <w:sz w:val="20"/>
                <w:szCs w:val="20"/>
              </w:rPr>
            </w:pPr>
          </w:p>
        </w:tc>
      </w:tr>
    </w:tbl>
    <w:p>
      <w:pPr>
        <w:jc w:val="both"/>
        <w:rPr>
          <w:lang w:val="sr-Latn-RS"/>
        </w:rPr>
      </w:pPr>
    </w:p>
    <w:p>
      <w:pPr>
        <w:jc w:val="right"/>
        <w:rPr>
          <w:i/>
          <w:u w:val="single"/>
          <w:lang w:val="sr-Latn-RS"/>
        </w:rPr>
      </w:pPr>
    </w:p>
    <w:p>
      <w:pPr>
        <w:jc w:val="right"/>
      </w:pPr>
      <w:r>
        <w:rPr>
          <w:i/>
          <w:u w:val="single"/>
          <w:lang w:val="sr-Latn-RS"/>
        </w:rPr>
        <w:t xml:space="preserve">Информатор о раду </w:t>
      </w:r>
    </w:p>
    <w:p>
      <w:pPr>
        <w:jc w:val="right"/>
      </w:pPr>
      <w:r>
        <w:rPr>
          <w:i/>
          <w:u w:val="single"/>
          <w:lang w:val="sr-Latn-RS"/>
        </w:rPr>
        <w:t>Основног јавног тужилаштва у Куршумлији</w:t>
      </w:r>
    </w:p>
    <w:p>
      <w:pPr>
        <w:jc w:val="right"/>
      </w:pPr>
      <w:r>
        <w:rPr>
          <w:i/>
          <w:lang w:val="sr-Latn-RS"/>
        </w:rPr>
        <w:t xml:space="preserve">Датум последњег ажурирања: </w:t>
      </w:r>
      <w:r>
        <w:rPr>
          <w:i/>
          <w:lang w:val="en-GB"/>
        </w:rPr>
        <w:t>0</w:t>
      </w:r>
      <w:r>
        <w:rPr>
          <w:rFonts w:hint="default"/>
          <w:i/>
          <w:lang w:val="en-US"/>
        </w:rPr>
        <w:t>2</w:t>
      </w:r>
      <w:r>
        <w:rPr>
          <w:i/>
          <w:lang w:val="en-GB"/>
        </w:rPr>
        <w:t>.02.2023</w:t>
      </w:r>
      <w:r>
        <w:rPr>
          <w:i/>
        </w:rPr>
        <w:t>.</w:t>
      </w:r>
    </w:p>
    <w:p>
      <w:pPr>
        <w:jc w:val="right"/>
        <w:rPr>
          <w:i/>
          <w:lang w:val="sr-Latn-RS"/>
        </w:rPr>
      </w:pPr>
    </w:p>
    <w:p>
      <w:pPr>
        <w:jc w:val="both"/>
      </w:pPr>
      <w:r>
        <w:rPr>
          <w:lang w:val="sr-Latn-RS"/>
        </w:rPr>
        <w:tab/>
      </w:r>
      <w:r>
        <w:rPr>
          <w:lang w:val="sr-Latn-RS"/>
        </w:rPr>
        <w:tab/>
      </w:r>
    </w:p>
    <w:p>
      <w:pPr>
        <w:jc w:val="right"/>
        <w:rPr>
          <w:i/>
          <w:lang w:val="sr-Latn-RS"/>
        </w:rPr>
      </w:pPr>
    </w:p>
    <w:p>
      <w:r>
        <w:rPr>
          <w:lang w:val="sr-Latn-RS"/>
        </w:rPr>
        <w:tab/>
      </w:r>
      <w:r>
        <w:rPr>
          <w:lang w:val="sr-Latn-RS"/>
        </w:rPr>
        <w:t>Основним јавном тужилаштву у K</w:t>
      </w:r>
      <w:r>
        <w:t>уршумлији</w:t>
      </w:r>
      <w:r>
        <w:rPr>
          <w:lang w:val="sr-Latn-RS"/>
        </w:rPr>
        <w:t xml:space="preserve"> дато је на коришћење путничко возиле марке „Шкода Фабија“ .</w:t>
      </w:r>
    </w:p>
    <w:p>
      <w:pPr>
        <w:rPr>
          <w:lang w:val="sr-Latn-RS"/>
        </w:rPr>
      </w:pPr>
    </w:p>
    <w:p>
      <w:r>
        <w:rPr>
          <w:lang w:val="sr-Latn-RS"/>
        </w:rPr>
        <w:tab/>
      </w:r>
      <w:r>
        <w:rPr>
          <w:lang w:val="sr-Latn-RS"/>
        </w:rPr>
        <w:t>Основно јавно тужилаштво у Куршумлија не поседује непокретну имовину.</w:t>
      </w:r>
    </w:p>
    <w:p>
      <w:pPr>
        <w:rPr>
          <w:lang w:val="sr-Latn-RS"/>
        </w:rPr>
      </w:pPr>
    </w:p>
    <w:p>
      <w:pPr>
        <w:rPr>
          <w:lang w:val="sr-Latn-RS"/>
        </w:rPr>
      </w:pPr>
    </w:p>
    <w:p>
      <w:pPr>
        <w:rPr>
          <w:lang w:val="sr-Latn-RS"/>
        </w:rPr>
      </w:pPr>
    </w:p>
    <w:p>
      <w:pPr>
        <w:jc w:val="both"/>
      </w:pPr>
      <w:r>
        <w:rPr>
          <w:lang w:val="sr-Latn-RS"/>
        </w:rPr>
        <w:tab/>
      </w:r>
    </w:p>
    <w:p>
      <w:pPr>
        <w:jc w:val="right"/>
      </w:pPr>
      <w:r>
        <w:rPr>
          <w:lang w:val="sr-Latn-RS"/>
        </w:rPr>
        <w:tab/>
      </w:r>
      <w:r>
        <w:rPr>
          <w:i/>
          <w:u w:val="single"/>
          <w:lang w:val="sr-Latn-RS"/>
        </w:rPr>
        <w:t xml:space="preserve">Информатор о раду </w:t>
      </w:r>
    </w:p>
    <w:p>
      <w:pPr>
        <w:jc w:val="right"/>
      </w:pPr>
      <w:r>
        <w:rPr>
          <w:i/>
          <w:u w:val="single"/>
          <w:lang w:val="sr-Latn-RS"/>
        </w:rPr>
        <w:t>Основног јавног тужилаштва у Куршумлији</w:t>
      </w:r>
    </w:p>
    <w:p>
      <w:pPr>
        <w:jc w:val="right"/>
        <w:rPr>
          <w:rFonts w:hint="default"/>
          <w:lang w:val="en-US"/>
        </w:rPr>
      </w:pPr>
      <w:r>
        <w:rPr>
          <w:i/>
          <w:lang w:val="sr-Latn-RS"/>
        </w:rPr>
        <w:t xml:space="preserve">Датум последњег ажурирања: </w:t>
      </w:r>
      <w:r>
        <w:rPr>
          <w:rFonts w:hint="default"/>
          <w:i/>
          <w:lang w:val="en-US"/>
        </w:rPr>
        <w:t>02</w:t>
      </w:r>
      <w:r>
        <w:rPr>
          <w:i/>
        </w:rPr>
        <w:t>.0</w:t>
      </w:r>
      <w:r>
        <w:rPr>
          <w:rFonts w:hint="default"/>
          <w:i/>
          <w:lang w:val="en-US"/>
        </w:rPr>
        <w:t>2</w:t>
      </w:r>
      <w:r>
        <w:rPr>
          <w:i/>
        </w:rPr>
        <w:t>.202</w:t>
      </w:r>
      <w:r>
        <w:rPr>
          <w:rFonts w:hint="default"/>
          <w:i/>
          <w:lang w:val="en-US"/>
        </w:rPr>
        <w:t>3</w:t>
      </w:r>
    </w:p>
    <w:p>
      <w:pPr>
        <w:jc w:val="right"/>
        <w:rPr>
          <w:i/>
          <w:lang w:val="sr-Latn-RS"/>
        </w:rPr>
      </w:pPr>
    </w:p>
    <w:p>
      <w:pPr>
        <w:numPr>
          <w:ilvl w:val="0"/>
          <w:numId w:val="0"/>
        </w:numPr>
        <w:bidi w:val="0"/>
        <w:ind w:left="0" w:right="0" w:firstLine="0"/>
        <w:jc w:val="both"/>
        <w:outlineLvl w:val="4"/>
        <w:rPr>
          <w:sz w:val="24"/>
          <w:lang w:val="zh-CN"/>
        </w:rPr>
      </w:pPr>
    </w:p>
    <w:p>
      <w:pPr>
        <w:numPr>
          <w:ilvl w:val="0"/>
          <w:numId w:val="0"/>
        </w:numPr>
        <w:bidi w:val="0"/>
        <w:ind w:left="0" w:right="0" w:firstLine="0"/>
        <w:jc w:val="left"/>
        <w:outlineLvl w:val="4"/>
        <w:rPr>
          <w:sz w:val="24"/>
        </w:rPr>
      </w:pPr>
    </w:p>
    <w:p>
      <w:pPr>
        <w:bidi w:val="0"/>
        <w:jc w:val="both"/>
        <w:rPr>
          <w:sz w:val="24"/>
        </w:rPr>
      </w:pPr>
    </w:p>
    <w:p>
      <w:pPr>
        <w:numPr>
          <w:ilvl w:val="0"/>
          <w:numId w:val="0"/>
        </w:numPr>
        <w:bidi w:val="0"/>
        <w:ind w:left="0" w:right="0" w:firstLine="0"/>
        <w:jc w:val="center"/>
        <w:outlineLvl w:val="0"/>
        <w:rPr>
          <w:b/>
          <w:sz w:val="24"/>
        </w:rPr>
      </w:pPr>
      <w:bookmarkStart w:id="13" w:name="_Toc517172847"/>
      <w:bookmarkEnd w:id="13"/>
      <w:r>
        <w:rPr>
          <w:b/>
          <w:sz w:val="24"/>
        </w:rPr>
        <w:t>XVI  -  ПОДАЦИ О ДРЖАВНОЈ ПОМОЋИ</w:t>
      </w:r>
    </w:p>
    <w:p>
      <w:pPr>
        <w:bidi w:val="0"/>
        <w:jc w:val="both"/>
        <w:rPr>
          <w:sz w:val="24"/>
        </w:rPr>
      </w:pPr>
    </w:p>
    <w:p>
      <w:pPr>
        <w:bidi w:val="0"/>
        <w:jc w:val="both"/>
        <w:rPr>
          <w:sz w:val="24"/>
        </w:rPr>
      </w:pPr>
    </w:p>
    <w:p>
      <w:pPr>
        <w:numPr>
          <w:ilvl w:val="0"/>
          <w:numId w:val="0"/>
        </w:numPr>
        <w:bidi w:val="0"/>
        <w:ind w:left="0" w:right="0" w:firstLine="720"/>
        <w:jc w:val="both"/>
        <w:outlineLvl w:val="4"/>
        <w:rPr>
          <w:sz w:val="24"/>
        </w:rPr>
      </w:pPr>
      <w:r>
        <w:rPr>
          <w:sz w:val="24"/>
        </w:rPr>
        <w:t xml:space="preserve">Основно јавно тужилаштво у Куршумлији до сада није користило државну помоћ, нити је додељивало државну помоћ у било којем облику. </w:t>
      </w:r>
    </w:p>
    <w:p>
      <w:pPr>
        <w:numPr>
          <w:ilvl w:val="0"/>
          <w:numId w:val="0"/>
        </w:numPr>
        <w:bidi w:val="0"/>
        <w:ind w:left="0" w:right="0" w:firstLine="0"/>
        <w:jc w:val="center"/>
        <w:outlineLvl w:val="4"/>
        <w:rPr>
          <w:b/>
          <w:sz w:val="24"/>
        </w:rPr>
      </w:pPr>
    </w:p>
    <w:p>
      <w:pPr>
        <w:numPr>
          <w:ilvl w:val="0"/>
          <w:numId w:val="0"/>
        </w:numPr>
        <w:bidi w:val="0"/>
        <w:ind w:left="0" w:right="0" w:firstLine="0"/>
        <w:jc w:val="center"/>
        <w:outlineLvl w:val="4"/>
        <w:rPr>
          <w:b/>
          <w:sz w:val="24"/>
        </w:rPr>
      </w:pPr>
    </w:p>
    <w:p>
      <w:pPr>
        <w:numPr>
          <w:ilvl w:val="0"/>
          <w:numId w:val="0"/>
        </w:numPr>
        <w:bidi w:val="0"/>
        <w:ind w:left="0" w:right="0" w:firstLine="0"/>
        <w:jc w:val="center"/>
        <w:outlineLvl w:val="0"/>
        <w:rPr>
          <w:b/>
          <w:sz w:val="24"/>
        </w:rPr>
      </w:pPr>
      <w:bookmarkStart w:id="14" w:name="_Toc517172848"/>
      <w:bookmarkEnd w:id="14"/>
      <w:r>
        <w:rPr>
          <w:b/>
          <w:sz w:val="24"/>
        </w:rPr>
        <w:t>XVII  -  ЧУВАЊЕ НОСАЧА ИНФОРМАЦИЈА</w:t>
      </w:r>
    </w:p>
    <w:p>
      <w:pPr>
        <w:bidi w:val="0"/>
        <w:jc w:val="both"/>
        <w:rPr>
          <w:sz w:val="24"/>
        </w:rPr>
      </w:pPr>
    </w:p>
    <w:p>
      <w:pPr>
        <w:bidi w:val="0"/>
        <w:jc w:val="both"/>
        <w:rPr>
          <w:sz w:val="24"/>
        </w:rPr>
      </w:pPr>
    </w:p>
    <w:p>
      <w:pPr>
        <w:numPr>
          <w:ilvl w:val="0"/>
          <w:numId w:val="0"/>
        </w:numPr>
        <w:bidi w:val="0"/>
        <w:ind w:left="0" w:right="0" w:firstLine="720"/>
        <w:jc w:val="both"/>
        <w:outlineLvl w:val="4"/>
        <w:rPr>
          <w:sz w:val="24"/>
        </w:rPr>
      </w:pPr>
      <w:r>
        <w:rPr>
          <w:sz w:val="24"/>
        </w:rPr>
        <w:t xml:space="preserve">Носачи информација од јавног значаја су списи предмета овог јавног тужилаштва, који се налазе у раду и тужилачкој архиви.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Основно јавно тужилаштво у Куршумлији чува информације настале у свом раду или у вези са радом у службеним просторијама тужилаштва и у архиви која се налази у просторијама тужилаштва.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Предмети у раду у тужилаштву чувају се у писарници јавног тужилаштва у посебним орманима и полицама којим приступ имају само запослени а архивирани предмети чувају се у архиви која је закључана и приступ истој имају запослени у писарници. </w:t>
      </w:r>
    </w:p>
    <w:p>
      <w:pPr>
        <w:numPr>
          <w:ilvl w:val="0"/>
          <w:numId w:val="0"/>
        </w:numPr>
        <w:bidi w:val="0"/>
        <w:ind w:left="0" w:right="0" w:firstLine="720"/>
        <w:jc w:val="both"/>
        <w:outlineLvl w:val="4"/>
        <w:rPr>
          <w:sz w:val="24"/>
        </w:rPr>
      </w:pPr>
      <w:r>
        <w:rPr>
          <w:sz w:val="24"/>
        </w:rPr>
        <w:t xml:space="preserve">Одредбом члана 129. Правилника о управи у јавним тужилаштвима прописано је да се предмети за које је утврђено да се у писарници држе у евиденцији до одређеног рока, стављају у роковник предмета. Роковник предмета састоји се из фасцикли у коју се предмети стављају према последњем дану рока и редном броју. Уместо фасцикли могу се користити посебни ормани са преградицама. Лице које води уписник је дужно да на дан пре истека рока предмет преда у рад обрађивачу. Ако је по предмету стигло какво писмено  пре истека рока, предмет ће се одмах предати у рад.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Одредбом члана 131. Правилника о управи у јавним тужилаштвима прописано је да је предмет коначно решен у тужилаштву када је одлука по одређеном предмету донета и отпремљена, односно када је отпремљено обавештење о коначној одлуци. После доношења правноснажне одлуке по појединим предметима обрађивач предмете прегледа и одређује стављање у архив, а уписничар на омоту означује рок чувања.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Основно јавно тужилаштво у Куршумлији чува носаче информација у складу са наведеним прописима и нико осим запослених нема приступ носачима информација.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Финансијска документација чува се у рачуноводству јавног тужилаштва, у орманима који се држе закључани а приступ имају само запослени у рачуноводству.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Рокови чувања одређени су Листом категорија </w:t>
      </w:r>
      <w:r>
        <w:rPr>
          <w:sz w:val="24"/>
          <w:lang w:val="sr-Cyrl-RS"/>
        </w:rPr>
        <w:t>регистраторског</w:t>
      </w:r>
      <w:r>
        <w:rPr>
          <w:sz w:val="24"/>
        </w:rPr>
        <w:t xml:space="preserve"> материјала са роковима чувања Републичког јавног тужилаштва А. број 396/11 од 18.10.2011. године којом је између осталог прописано да се Правилник о унутрашњем уређењу и систематизацији радних места и Правилник о управи у јавним тужилаштвима чувају трајно, а остали правилници и општа акта 2 године по престанку важења. </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Кривични предмети у којима је одбачена кривична пријава, а садрже податке о смртној последици или тешким телесним повредама чувају се трајно, а остали предмети у којима је одбачена кривична пријава до наступања релативне застарелости за кривично дело на које се односи предмет.</w:t>
      </w:r>
    </w:p>
    <w:p>
      <w:pPr>
        <w:numPr>
          <w:ilvl w:val="0"/>
          <w:numId w:val="0"/>
        </w:numPr>
        <w:bidi w:val="0"/>
        <w:ind w:left="0" w:right="0" w:firstLine="720"/>
        <w:jc w:val="both"/>
        <w:outlineLvl w:val="4"/>
        <w:rPr>
          <w:sz w:val="24"/>
        </w:rPr>
      </w:pPr>
    </w:p>
    <w:p>
      <w:pPr>
        <w:numPr>
          <w:ilvl w:val="0"/>
          <w:numId w:val="0"/>
        </w:numPr>
        <w:bidi w:val="0"/>
        <w:ind w:left="0" w:right="0" w:firstLine="0"/>
        <w:jc w:val="both"/>
        <w:outlineLvl w:val="4"/>
        <w:rPr>
          <w:sz w:val="24"/>
        </w:rPr>
      </w:pPr>
      <w:r>
        <w:rPr>
          <w:sz w:val="24"/>
        </w:rPr>
        <w:t xml:space="preserve"> </w:t>
      </w:r>
      <w:r>
        <w:rPr>
          <w:sz w:val="24"/>
        </w:rPr>
        <w:tab/>
      </w:r>
      <w:r>
        <w:rPr>
          <w:sz w:val="24"/>
        </w:rPr>
        <w:t xml:space="preserve">Предмети који су одложени у евиденцију НН, а односе се на смртну последицу чувају се трајно, а остали предмети у евиденцији НН до наступања апсолутне застарелости.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Предмети обустављених истрага и одустанка од гоњења после оптужења чувају се до истека рока релативне застарелости.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Предмети оптужења који нису пресуђени чувају се до наступања апсолутне застарелости, а правноснажно пресуђени предмети 5 година. Предмети где није прихваћена иницијатива за подизање захтева за заштиту законитости 3 године, предмети у којима је подигнут захтев за заштиту законитости 5 година.  </w:t>
      </w:r>
    </w:p>
    <w:p>
      <w:pPr>
        <w:numPr>
          <w:ilvl w:val="0"/>
          <w:numId w:val="0"/>
        </w:numPr>
        <w:bidi w:val="0"/>
        <w:ind w:left="0" w:right="0" w:firstLine="720"/>
        <w:jc w:val="both"/>
        <w:outlineLvl w:val="4"/>
        <w:rPr>
          <w:sz w:val="24"/>
        </w:rPr>
      </w:pPr>
      <w:r>
        <w:rPr>
          <w:sz w:val="24"/>
        </w:rPr>
        <w:t xml:space="preserve">КТР предмети са смртном последицом чувају се трајно, а остали КТР предмети 3 године.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Трајно се чувају записници са колегијума тужилаштва, програм рада јавног тужилаштва, годишњи извештај о раду јавног тужилаштва, годишњи статистички извештај о раду јавног тужилаштва, обавезна упутства, матичне књиге, решења Народне Скупштине Републике Србије о именовању јавних тужилаца и заменика јавних тужилаца, сви уписници и именици, предмети СТР.ПОВ и ПОВ.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Персонални досијеи радника чувају се 70 година, као и предмети у вези са социјалним, инвалидским и пензијским осигурањем.</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Конкурсни материјал чува се три године.</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Рачуноводствене исправе и пословне књиге чувају се: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0"/>
        <w:jc w:val="both"/>
        <w:outlineLvl w:val="4"/>
        <w:rPr>
          <w:sz w:val="24"/>
        </w:rPr>
      </w:pPr>
      <w:r>
        <w:rPr>
          <w:sz w:val="24"/>
        </w:rPr>
        <w:t xml:space="preserve">-трајно – платни спискови, евиденције о зарадама, финансијски планови, завршни рачуни, књига инвентара и опреме, документација у вези са осигурањем имовине и лица, евиденција о јавним набавкама;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0"/>
        <w:jc w:val="both"/>
        <w:outlineLvl w:val="4"/>
        <w:rPr>
          <w:sz w:val="24"/>
        </w:rPr>
      </w:pPr>
      <w:r>
        <w:rPr>
          <w:sz w:val="24"/>
        </w:rPr>
        <w:t xml:space="preserve">- 10 година- главна књига – картице, помоћне књиге, комплетна документација подносиоца захтева за заштиту права (понуђача) пред Комисијом за заштиту права;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0"/>
        <w:jc w:val="both"/>
        <w:outlineLvl w:val="4"/>
        <w:rPr>
          <w:sz w:val="24"/>
        </w:rPr>
      </w:pPr>
      <w:r>
        <w:rPr>
          <w:sz w:val="24"/>
        </w:rPr>
        <w:t xml:space="preserve">- 8 година – конкурсна </w:t>
      </w:r>
      <w:r>
        <w:rPr>
          <w:sz w:val="24"/>
          <w:lang w:val="sr-Cyrl-RS"/>
        </w:rPr>
        <w:t>документација</w:t>
      </w:r>
      <w:r>
        <w:rPr>
          <w:sz w:val="24"/>
        </w:rPr>
        <w:t xml:space="preserve"> у поступку јавних набавки, понуде понуђача, понуде понуђача са којима је закључен уговор о јавној набавци с тим што се рок рачуна од истека рока за извршење појединачног уговора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0"/>
        <w:jc w:val="both"/>
        <w:outlineLvl w:val="4"/>
        <w:rPr>
          <w:sz w:val="24"/>
        </w:rPr>
      </w:pPr>
      <w:r>
        <w:rPr>
          <w:sz w:val="24"/>
        </w:rPr>
        <w:t>-5 година – материјално-финансијска документација о пословању јавног тужилаштва, решења о накнадама за одвојени живот, књига набавки и услуга, одлука о расходовању инвентара и опреме, о давању опреме за коришћење без наканде, пописне листе са извештајима пописне комисије.</w:t>
      </w:r>
    </w:p>
    <w:p>
      <w:pPr>
        <w:bidi w:val="0"/>
        <w:jc w:val="both"/>
        <w:rPr>
          <w:sz w:val="24"/>
        </w:rPr>
      </w:pPr>
    </w:p>
    <w:p>
      <w:pPr>
        <w:bidi w:val="0"/>
        <w:jc w:val="both"/>
        <w:rPr>
          <w:sz w:val="24"/>
        </w:rPr>
      </w:pPr>
    </w:p>
    <w:p>
      <w:pPr>
        <w:numPr>
          <w:ilvl w:val="0"/>
          <w:numId w:val="0"/>
        </w:numPr>
        <w:bidi w:val="0"/>
        <w:ind w:left="0" w:right="0" w:firstLine="0"/>
        <w:jc w:val="center"/>
        <w:outlineLvl w:val="0"/>
        <w:rPr>
          <w:b/>
          <w:sz w:val="24"/>
        </w:rPr>
      </w:pPr>
      <w:bookmarkStart w:id="15" w:name="_Toc517172849"/>
      <w:bookmarkEnd w:id="15"/>
      <w:r>
        <w:rPr>
          <w:b/>
          <w:sz w:val="24"/>
        </w:rPr>
        <w:t>XVIII  -  ВРСТЕ ИНФОРМАЦИЈА У ПОСЕДУ</w:t>
      </w:r>
    </w:p>
    <w:p>
      <w:pPr>
        <w:bidi w:val="0"/>
        <w:jc w:val="both"/>
        <w:rPr>
          <w:sz w:val="24"/>
        </w:rPr>
      </w:pPr>
    </w:p>
    <w:p>
      <w:pPr>
        <w:bidi w:val="0"/>
        <w:jc w:val="both"/>
        <w:rPr>
          <w:sz w:val="24"/>
        </w:rPr>
      </w:pPr>
    </w:p>
    <w:p>
      <w:pPr>
        <w:numPr>
          <w:ilvl w:val="0"/>
          <w:numId w:val="0"/>
        </w:numPr>
        <w:bidi w:val="0"/>
        <w:ind w:left="0" w:right="0" w:firstLine="720"/>
        <w:jc w:val="both"/>
        <w:outlineLvl w:val="4"/>
        <w:rPr>
          <w:sz w:val="24"/>
        </w:rPr>
      </w:pPr>
      <w:r>
        <w:rPr>
          <w:sz w:val="24"/>
        </w:rPr>
        <w:t xml:space="preserve">Информације које Основно јавно тужилаштво поседује представљају садржину кривичних и других предмета и списа о којима ово тужилаштво води евиденцију.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Подаци који су од значаја за рад јавног тужилаштва уписују се у уписнике, помоћне књиге и друге евиденције. Уписнике, помоћне књиге воде запослени који раде у писарници.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 xml:space="preserve">У јавном тужилаштву воде се следећи уписници: </w:t>
      </w:r>
    </w:p>
    <w:p>
      <w:pPr>
        <w:numPr>
          <w:ilvl w:val="0"/>
          <w:numId w:val="0"/>
        </w:numPr>
        <w:bidi w:val="0"/>
        <w:ind w:left="0" w:right="0" w:firstLine="0"/>
        <w:jc w:val="both"/>
        <w:outlineLvl w:val="4"/>
        <w:rPr>
          <w:sz w:val="24"/>
        </w:rPr>
      </w:pPr>
    </w:p>
    <w:p>
      <w:pPr>
        <w:numPr>
          <w:ilvl w:val="0"/>
          <w:numId w:val="2"/>
        </w:numPr>
        <w:bidi w:val="0"/>
        <w:ind w:left="709" w:right="0" w:hanging="360"/>
        <w:jc w:val="both"/>
        <w:outlineLvl w:val="4"/>
        <w:rPr>
          <w:sz w:val="24"/>
        </w:rPr>
      </w:pPr>
      <w:r>
        <w:rPr>
          <w:sz w:val="24"/>
        </w:rPr>
        <w:t xml:space="preserve">„КТ“ - Уписник за пунолетне учиниоце кривичних дела </w:t>
      </w:r>
    </w:p>
    <w:p>
      <w:pPr>
        <w:numPr>
          <w:ilvl w:val="0"/>
          <w:numId w:val="0"/>
        </w:numPr>
        <w:bidi w:val="0"/>
        <w:ind w:left="426" w:right="0" w:firstLine="0"/>
        <w:jc w:val="both"/>
        <w:outlineLvl w:val="4"/>
        <w:rPr>
          <w:sz w:val="24"/>
        </w:rPr>
      </w:pPr>
      <w:r>
        <w:rPr>
          <w:sz w:val="24"/>
        </w:rPr>
        <w:t>Евиденција „КТ” уписника садржи основне податке о пунолетним лицима пријављених од стране полиције или других државних органа, као и од стране других лица уколико јавни тужилац или лице које он одреди утврди да је из приложених доказа или на други начин учињено вероватним постојање основа сумње да су извршила кривична дела за које се гоњење предузима по службеној дужности, као и основне податке о примљеним обавештењима, предузетим радњама, одлукама тужиоца и поступајућих судова.</w:t>
      </w:r>
    </w:p>
    <w:p>
      <w:pPr>
        <w:numPr>
          <w:ilvl w:val="0"/>
          <w:numId w:val="0"/>
        </w:numPr>
        <w:bidi w:val="0"/>
        <w:ind w:left="0" w:right="0" w:firstLine="0"/>
        <w:jc w:val="both"/>
        <w:outlineLvl w:val="4"/>
        <w:rPr>
          <w:sz w:val="24"/>
        </w:rPr>
      </w:pPr>
    </w:p>
    <w:p>
      <w:pPr>
        <w:numPr>
          <w:ilvl w:val="0"/>
          <w:numId w:val="2"/>
        </w:numPr>
        <w:bidi w:val="0"/>
        <w:spacing w:before="0" w:after="0"/>
        <w:jc w:val="both"/>
        <w:outlineLvl w:val="4"/>
        <w:rPr>
          <w:sz w:val="24"/>
        </w:rPr>
      </w:pPr>
      <w:r>
        <w:rPr>
          <w:sz w:val="24"/>
        </w:rPr>
        <w:t>„КТН“ – Уписник за непознате извршиоце кривичних дела</w:t>
      </w:r>
    </w:p>
    <w:p>
      <w:pPr>
        <w:numPr>
          <w:ilvl w:val="0"/>
          <w:numId w:val="2"/>
        </w:numPr>
        <w:bidi w:val="0"/>
        <w:spacing w:before="0" w:after="0"/>
        <w:jc w:val="both"/>
        <w:outlineLvl w:val="4"/>
        <w:rPr>
          <w:sz w:val="24"/>
        </w:rPr>
      </w:pPr>
      <w:r>
        <w:rPr>
          <w:sz w:val="24"/>
        </w:rPr>
        <w:t>„КТР“ – Уписник за остале кривичне предмете</w:t>
      </w:r>
    </w:p>
    <w:p>
      <w:pPr>
        <w:numPr>
          <w:ilvl w:val="0"/>
          <w:numId w:val="2"/>
        </w:numPr>
        <w:bidi w:val="0"/>
        <w:spacing w:before="0" w:after="0"/>
        <w:jc w:val="both"/>
        <w:outlineLvl w:val="4"/>
        <w:rPr>
          <w:sz w:val="24"/>
        </w:rPr>
      </w:pPr>
      <w:r>
        <w:rPr>
          <w:sz w:val="24"/>
        </w:rPr>
        <w:t>„КТРИ“ – Уписник за предмете по ванредним правним лековима и предмете у првостепеном поступку по жалбама на решење</w:t>
      </w:r>
    </w:p>
    <w:p>
      <w:pPr>
        <w:numPr>
          <w:ilvl w:val="0"/>
          <w:numId w:val="2"/>
        </w:numPr>
        <w:bidi w:val="0"/>
        <w:spacing w:before="0" w:after="0"/>
        <w:jc w:val="both"/>
        <w:outlineLvl w:val="4"/>
        <w:rPr>
          <w:sz w:val="24"/>
        </w:rPr>
      </w:pPr>
      <w:r>
        <w:rPr>
          <w:sz w:val="24"/>
        </w:rPr>
        <w:t>„КЕО“ – Уписник о предметима у којима је примењено одлагање кривичног гоњења</w:t>
      </w:r>
    </w:p>
    <w:p>
      <w:pPr>
        <w:numPr>
          <w:ilvl w:val="0"/>
          <w:numId w:val="2"/>
        </w:numPr>
        <w:bidi w:val="0"/>
        <w:spacing w:before="0" w:after="0"/>
        <w:jc w:val="both"/>
        <w:outlineLvl w:val="4"/>
        <w:rPr>
          <w:sz w:val="24"/>
        </w:rPr>
      </w:pPr>
      <w:r>
        <w:rPr>
          <w:sz w:val="24"/>
        </w:rPr>
        <w:t>„ПТ“ – Уписник за прекршајне предмете</w:t>
      </w:r>
    </w:p>
    <w:p>
      <w:pPr>
        <w:numPr>
          <w:ilvl w:val="0"/>
          <w:numId w:val="2"/>
        </w:numPr>
        <w:bidi w:val="0"/>
        <w:spacing w:before="0" w:after="0"/>
        <w:jc w:val="both"/>
        <w:outlineLvl w:val="4"/>
        <w:rPr>
          <w:sz w:val="24"/>
        </w:rPr>
      </w:pPr>
      <w:r>
        <w:rPr>
          <w:sz w:val="24"/>
        </w:rPr>
        <w:t>„ПОВ“ – Уписник за предмете са ознаком степена тајности поверљиво</w:t>
      </w:r>
    </w:p>
    <w:p>
      <w:pPr>
        <w:numPr>
          <w:ilvl w:val="0"/>
          <w:numId w:val="2"/>
        </w:numPr>
        <w:bidi w:val="0"/>
        <w:spacing w:before="0" w:after="0"/>
        <w:jc w:val="both"/>
        <w:outlineLvl w:val="4"/>
        <w:rPr>
          <w:sz w:val="24"/>
        </w:rPr>
      </w:pPr>
      <w:r>
        <w:rPr>
          <w:sz w:val="24"/>
        </w:rPr>
        <w:t>„СТР.ПОВ“ – Уписник за предмете са ознаком степена тајности строго поверљиво</w:t>
      </w:r>
    </w:p>
    <w:p>
      <w:pPr>
        <w:numPr>
          <w:ilvl w:val="0"/>
          <w:numId w:val="2"/>
        </w:numPr>
        <w:bidi w:val="0"/>
        <w:spacing w:before="0" w:after="0"/>
        <w:jc w:val="both"/>
        <w:outlineLvl w:val="4"/>
        <w:rPr>
          <w:sz w:val="24"/>
        </w:rPr>
      </w:pPr>
      <w:r>
        <w:rPr>
          <w:sz w:val="24"/>
        </w:rPr>
        <w:t>„А“ – Уписник за административне предмете и акте</w:t>
      </w:r>
    </w:p>
    <w:p>
      <w:pPr>
        <w:numPr>
          <w:ilvl w:val="0"/>
          <w:numId w:val="2"/>
        </w:numPr>
        <w:bidi w:val="0"/>
        <w:spacing w:before="0" w:after="0"/>
        <w:jc w:val="both"/>
        <w:outlineLvl w:val="4"/>
        <w:rPr>
          <w:sz w:val="24"/>
        </w:rPr>
      </w:pPr>
      <w:r>
        <w:rPr>
          <w:sz w:val="24"/>
        </w:rPr>
        <w:t>„Р“ – Уписник за финансијско-материјалне послове</w:t>
      </w:r>
    </w:p>
    <w:p>
      <w:pPr>
        <w:numPr>
          <w:ilvl w:val="0"/>
          <w:numId w:val="2"/>
        </w:numPr>
        <w:bidi w:val="0"/>
        <w:spacing w:before="0" w:after="0"/>
        <w:jc w:val="both"/>
        <w:outlineLvl w:val="4"/>
        <w:rPr>
          <w:sz w:val="24"/>
        </w:rPr>
      </w:pPr>
      <w:r>
        <w:rPr>
          <w:sz w:val="24"/>
        </w:rPr>
        <w:t>„СК“ – Уписник о поднетим предлозима и закључењу споразума о признању кривичног дела</w:t>
      </w:r>
    </w:p>
    <w:p>
      <w:pPr>
        <w:numPr>
          <w:ilvl w:val="0"/>
          <w:numId w:val="2"/>
        </w:numPr>
        <w:bidi w:val="0"/>
        <w:spacing w:before="0" w:after="0"/>
        <w:jc w:val="both"/>
        <w:outlineLvl w:val="4"/>
        <w:rPr>
          <w:sz w:val="24"/>
        </w:rPr>
      </w:pPr>
      <w:r>
        <w:rPr>
          <w:sz w:val="24"/>
        </w:rPr>
        <w:t>„ОИК“ – Уписник о предметима имовинске користи проистекле из кривичног дела</w:t>
      </w:r>
    </w:p>
    <w:p>
      <w:pPr>
        <w:numPr>
          <w:ilvl w:val="0"/>
          <w:numId w:val="2"/>
        </w:numPr>
        <w:bidi w:val="0"/>
        <w:spacing w:before="0" w:after="0"/>
        <w:jc w:val="both"/>
        <w:outlineLvl w:val="4"/>
        <w:rPr>
          <w:sz w:val="24"/>
        </w:rPr>
      </w:pPr>
      <w:r>
        <w:rPr>
          <w:sz w:val="24"/>
        </w:rPr>
        <w:t xml:space="preserve">„ПИ“ – Уписник о поднетим захтевима и одлукама о остваривању права на приступ информацијама од јавног значаја </w:t>
      </w:r>
    </w:p>
    <w:p>
      <w:pPr>
        <w:numPr>
          <w:ilvl w:val="0"/>
          <w:numId w:val="2"/>
        </w:numPr>
        <w:bidi w:val="0"/>
        <w:spacing w:before="0" w:after="0"/>
        <w:jc w:val="both"/>
        <w:outlineLvl w:val="4"/>
        <w:rPr>
          <w:sz w:val="24"/>
        </w:rPr>
      </w:pPr>
      <w:r>
        <w:rPr>
          <w:sz w:val="24"/>
        </w:rPr>
        <w:t>„ИН“ – Уписник са ознаком степена тајности интерно</w:t>
      </w:r>
    </w:p>
    <w:p>
      <w:pPr>
        <w:numPr>
          <w:ilvl w:val="0"/>
          <w:numId w:val="2"/>
        </w:numPr>
        <w:bidi w:val="0"/>
        <w:spacing w:before="0" w:after="0"/>
        <w:jc w:val="both"/>
        <w:outlineLvl w:val="4"/>
        <w:rPr>
          <w:sz w:val="24"/>
        </w:rPr>
      </w:pPr>
      <w:r>
        <w:rPr>
          <w:sz w:val="24"/>
        </w:rPr>
        <w:t>„П“ – Уписник за персоналне послове</w:t>
      </w:r>
    </w:p>
    <w:p>
      <w:pPr>
        <w:numPr>
          <w:ilvl w:val="0"/>
          <w:numId w:val="2"/>
        </w:numPr>
        <w:bidi w:val="0"/>
        <w:spacing w:before="0" w:after="0"/>
        <w:jc w:val="both"/>
        <w:outlineLvl w:val="4"/>
        <w:rPr>
          <w:sz w:val="24"/>
        </w:rPr>
      </w:pPr>
      <w:r>
        <w:rPr>
          <w:sz w:val="24"/>
        </w:rPr>
        <w:t>„О“ – Уписник са обавезним упутствима и другим хијерархијским одлукама Виших тужилаштава</w:t>
      </w:r>
    </w:p>
    <w:p>
      <w:pPr>
        <w:numPr>
          <w:ilvl w:val="0"/>
          <w:numId w:val="2"/>
        </w:numPr>
        <w:bidi w:val="0"/>
        <w:spacing w:before="0" w:after="0"/>
        <w:jc w:val="both"/>
        <w:outlineLvl w:val="4"/>
        <w:rPr>
          <w:sz w:val="24"/>
        </w:rPr>
      </w:pPr>
      <w:r>
        <w:rPr>
          <w:sz w:val="24"/>
        </w:rPr>
        <w:t>„КДП“ – Уписник за одузете предмете и одузети новац</w:t>
      </w:r>
    </w:p>
    <w:p>
      <w:pPr>
        <w:numPr>
          <w:ilvl w:val="0"/>
          <w:numId w:val="2"/>
        </w:numPr>
        <w:bidi w:val="0"/>
        <w:spacing w:before="0" w:after="0"/>
        <w:jc w:val="both"/>
        <w:outlineLvl w:val="4"/>
        <w:rPr>
          <w:sz w:val="24"/>
        </w:rPr>
      </w:pPr>
      <w:r>
        <w:rPr>
          <w:sz w:val="24"/>
        </w:rPr>
        <w:t>„МП“ – Уписник за међународну правну помоћ и међународну сарадњу</w:t>
      </w:r>
    </w:p>
    <w:p>
      <w:pPr>
        <w:numPr>
          <w:ilvl w:val="0"/>
          <w:numId w:val="2"/>
        </w:numPr>
        <w:bidi w:val="0"/>
        <w:spacing w:before="0" w:after="0"/>
        <w:jc w:val="both"/>
        <w:outlineLvl w:val="4"/>
        <w:rPr>
          <w:sz w:val="24"/>
        </w:rPr>
      </w:pPr>
      <w:r>
        <w:rPr>
          <w:sz w:val="24"/>
        </w:rPr>
        <w:t>„НПТ“ – Уписник о изреченим хитним мерама за сузбијање насиља у породици</w:t>
      </w:r>
    </w:p>
    <w:p>
      <w:pPr>
        <w:numPr>
          <w:ilvl w:val="0"/>
          <w:numId w:val="2"/>
        </w:numPr>
        <w:bidi w:val="0"/>
        <w:jc w:val="both"/>
        <w:outlineLvl w:val="4"/>
        <w:rPr>
          <w:sz w:val="24"/>
        </w:rPr>
      </w:pPr>
      <w:r>
        <w:rPr>
          <w:sz w:val="24"/>
        </w:rPr>
        <w:t>„НПТ 1“ – Уписник о евиденцији састанака групе за координацију и сарадњу на сузбијању насиља у породици</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Од помоћних књига у Основном јавном тужилаштву у</w:t>
      </w:r>
      <w:r>
        <w:rPr>
          <w:rFonts w:hint="default"/>
          <w:sz w:val="24"/>
          <w:lang w:val="sr-Cyrl-RS"/>
        </w:rPr>
        <w:t xml:space="preserve"> </w:t>
      </w:r>
      <w:r>
        <w:rPr>
          <w:sz w:val="24"/>
          <w:lang w:val="sr-Cyrl-RS"/>
        </w:rPr>
        <w:t>Куршумлији</w:t>
      </w:r>
      <w:r>
        <w:rPr>
          <w:sz w:val="24"/>
        </w:rPr>
        <w:t xml:space="preserve"> воде се примопредајна књига за унутрашњу доставу, доставна књига за пошту, дневник службених путовања, књига дежурства, књига распореда процесних обавеза и службених радњи, књига додељених предмета, архивска књига, књига издатих списа из архиве, књига записника са одржаних колегијума, књига главних претреса, контролних притвора, службено, евиденција присуствовања заменика увиђајима.</w:t>
      </w: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r>
        <w:rPr>
          <w:sz w:val="24"/>
        </w:rPr>
        <w:tab/>
      </w:r>
      <w:r>
        <w:rPr>
          <w:sz w:val="24"/>
        </w:rPr>
        <w:t xml:space="preserve">Од 2016. године писарница ОЈТ-а води посебне евиденције  о којима се извештавање о поступању чини електронским путем. Ради се о посебним евиденцијама за кривична дела извршена на штету лица која обављају послове од јавног значаја у области информисања и напада на интернет странице медија, евиденција суђења у разумном року, евиденција кривичних дела учињених из побуда мржње ( чл. 54 а КЗ) и посебна евиденција за кривично дело насиље у пордици из чл. 194 Кривичног законика. </w:t>
      </w: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r>
        <w:rPr>
          <w:sz w:val="24"/>
        </w:rPr>
        <w:tab/>
      </w:r>
      <w:r>
        <w:rPr>
          <w:sz w:val="24"/>
        </w:rPr>
        <w:t>Уписници и помоћне књиге у ОЈТ у Куршумлији, се искључиво воде ћириличним писмом.</w:t>
      </w: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r>
        <w:rPr>
          <w:sz w:val="24"/>
        </w:rPr>
        <w:tab/>
      </w:r>
      <w:r>
        <w:rPr>
          <w:sz w:val="24"/>
        </w:rPr>
        <w:t>Уочава се да на предњој страни свих уписника и помоћних књига се налазе видне ознаке које упућују на садржину, годину одговарајућег уписника и помоћних књига и године.</w:t>
      </w: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r>
        <w:rPr>
          <w:sz w:val="24"/>
        </w:rPr>
        <w:tab/>
      </w:r>
      <w:r>
        <w:rPr>
          <w:sz w:val="24"/>
        </w:rPr>
        <w:t>Редовно се води и Књига записника са одржаних колегијума Основног јавног тужилаштва у Куршумлији.</w:t>
      </w:r>
    </w:p>
    <w:p>
      <w:pPr>
        <w:bidi w:val="0"/>
        <w:jc w:val="both"/>
        <w:rPr>
          <w:sz w:val="24"/>
        </w:rPr>
      </w:pPr>
    </w:p>
    <w:p>
      <w:pPr>
        <w:bidi w:val="0"/>
        <w:jc w:val="both"/>
        <w:rPr>
          <w:sz w:val="24"/>
        </w:rPr>
      </w:pPr>
    </w:p>
    <w:p>
      <w:pPr>
        <w:numPr>
          <w:ilvl w:val="0"/>
          <w:numId w:val="0"/>
        </w:numPr>
        <w:bidi w:val="0"/>
        <w:ind w:left="0" w:right="0" w:firstLine="0"/>
        <w:jc w:val="center"/>
        <w:outlineLvl w:val="0"/>
        <w:rPr>
          <w:b/>
          <w:sz w:val="24"/>
        </w:rPr>
      </w:pPr>
      <w:bookmarkStart w:id="16" w:name="_Toc517172850"/>
      <w:bookmarkEnd w:id="16"/>
      <w:r>
        <w:rPr>
          <w:b/>
          <w:sz w:val="24"/>
        </w:rPr>
        <w:t>XIX  -  ВРСТЕ ИНФОРМАЦИЈА КОЈИМА ДРЖАВНИ ОРГАН ОМОГУЋАВА ПРИСТУП</w:t>
      </w:r>
    </w:p>
    <w:p>
      <w:pPr>
        <w:bidi w:val="0"/>
        <w:jc w:val="both"/>
        <w:rPr>
          <w:sz w:val="24"/>
        </w:rPr>
      </w:pPr>
    </w:p>
    <w:p>
      <w:pPr>
        <w:numPr>
          <w:ilvl w:val="0"/>
          <w:numId w:val="0"/>
        </w:numPr>
        <w:bidi w:val="0"/>
        <w:ind w:left="0" w:right="0" w:firstLine="720"/>
        <w:jc w:val="both"/>
        <w:outlineLvl w:val="4"/>
        <w:rPr>
          <w:sz w:val="24"/>
        </w:rPr>
      </w:pPr>
      <w:r>
        <w:rPr>
          <w:sz w:val="24"/>
        </w:rPr>
        <w:t xml:space="preserve">Сматра се да оправдани интерес јавности да зна, из члана 2. Закона о слободном приступу информацијама од јавног значаја, постоји увек када се ради о информацијама којима располаже Основно јавно тужилаштво, које се односе на угрожавање, односно заштиту здравља становништва и животне средине, а ако се ради о другим информацијама којима располаже орган власти, сматра се да оправдани интерес јавности да зна, из члана овог Закона да постоји, осим ако орган власти докаже супротно. </w:t>
      </w:r>
    </w:p>
    <w:p>
      <w:pPr>
        <w:numPr>
          <w:ilvl w:val="0"/>
          <w:numId w:val="0"/>
        </w:numPr>
        <w:bidi w:val="0"/>
        <w:ind w:left="0" w:right="0" w:firstLine="720"/>
        <w:jc w:val="both"/>
        <w:outlineLvl w:val="4"/>
        <w:rPr>
          <w:sz w:val="24"/>
        </w:rPr>
      </w:pPr>
      <w:r>
        <w:rPr>
          <w:sz w:val="24"/>
        </w:rPr>
        <w:t xml:space="preserve">Информације од јавног значаја се грађанима могу дати на увид, уз одређена ограничења, и то: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Права из Закона о слободном приступу информацијама од јавног значаја могу се изузетно подврћи ограничењима прописаним тим законом ако је то неопходно у демократском друштву ради заштите од озбиљне повреде претежнијег интереса заснованог на Уставу или Закону.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Ни једна одредба наведеног Закона не сме се тумачити на начин који би довео до укидања неког права које закон признаје или до његовог ограничења у већој мери од оне која је прописана. </w:t>
      </w:r>
    </w:p>
    <w:p>
      <w:pPr>
        <w:numPr>
          <w:ilvl w:val="0"/>
          <w:numId w:val="0"/>
        </w:numPr>
        <w:bidi w:val="0"/>
        <w:ind w:left="0" w:right="0" w:firstLine="0"/>
        <w:jc w:val="both"/>
        <w:outlineLvl w:val="4"/>
        <w:rPr>
          <w:sz w:val="24"/>
        </w:rPr>
      </w:pPr>
      <w:r>
        <w:rPr>
          <w:sz w:val="24"/>
        </w:rPr>
        <w:t xml:space="preserve"> </w:t>
      </w:r>
      <w:r>
        <w:rPr>
          <w:sz w:val="24"/>
        </w:rPr>
        <w:tab/>
      </w:r>
      <w:r>
        <w:rPr>
          <w:sz w:val="24"/>
        </w:rPr>
        <w:t xml:space="preserve">Основно јавно тужилаштво неће тражиоцу омогућити остваривање права на приступ информацијама од јавног значаја, ако би тиме: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0"/>
        <w:jc w:val="both"/>
        <w:outlineLvl w:val="4"/>
        <w:rPr>
          <w:sz w:val="24"/>
        </w:rPr>
      </w:pPr>
      <w:r>
        <w:rPr>
          <w:sz w:val="24"/>
        </w:rPr>
        <w:t xml:space="preserve">(1) угрозио живот, здравље, сигурност или које друго важно добро неког лица; </w:t>
      </w:r>
    </w:p>
    <w:p>
      <w:pPr>
        <w:numPr>
          <w:ilvl w:val="0"/>
          <w:numId w:val="0"/>
        </w:numPr>
        <w:bidi w:val="0"/>
        <w:ind w:left="0" w:right="0" w:firstLine="0"/>
        <w:jc w:val="both"/>
        <w:outlineLvl w:val="4"/>
        <w:rPr>
          <w:sz w:val="24"/>
        </w:rPr>
      </w:pPr>
      <w:r>
        <w:rPr>
          <w:sz w:val="24"/>
        </w:rPr>
        <w:t>(2) угрозио, омео или отежао спречавање или откривање кривичног дела, оптужења за кривично дело, вођење преткривичног поступка, вођење судског поступка, извршење пресуде или спровођење казне, или који други правно уређени поступак, или фер поступање и правично суђење;</w:t>
      </w:r>
    </w:p>
    <w:p>
      <w:pPr>
        <w:numPr>
          <w:ilvl w:val="0"/>
          <w:numId w:val="0"/>
        </w:numPr>
        <w:bidi w:val="0"/>
        <w:ind w:left="0" w:right="0" w:firstLine="0"/>
        <w:jc w:val="both"/>
        <w:outlineLvl w:val="4"/>
        <w:rPr>
          <w:sz w:val="24"/>
        </w:rPr>
      </w:pPr>
      <w:r>
        <w:rPr>
          <w:sz w:val="24"/>
        </w:rPr>
        <w:t xml:space="preserve">(3) озбиљно угрозио одбрану земље, националну или јавну безбедност, или међународне односе; </w:t>
      </w:r>
    </w:p>
    <w:p>
      <w:pPr>
        <w:numPr>
          <w:ilvl w:val="0"/>
          <w:numId w:val="0"/>
        </w:numPr>
        <w:bidi w:val="0"/>
        <w:ind w:left="0" w:right="0" w:firstLine="0"/>
        <w:jc w:val="both"/>
        <w:outlineLvl w:val="4"/>
        <w:rPr>
          <w:sz w:val="24"/>
        </w:rPr>
      </w:pPr>
      <w:r>
        <w:rPr>
          <w:sz w:val="24"/>
        </w:rPr>
        <w:t xml:space="preserve">(4) битно умањио способност државе да управља економским процесима у земљи или битно отежао остварење оправданих економских интереса;  </w:t>
      </w:r>
    </w:p>
    <w:p>
      <w:pPr>
        <w:numPr>
          <w:ilvl w:val="0"/>
          <w:numId w:val="0"/>
        </w:numPr>
        <w:bidi w:val="0"/>
        <w:ind w:left="0" w:right="0" w:firstLine="0"/>
        <w:jc w:val="both"/>
        <w:outlineLvl w:val="4"/>
        <w:rPr>
          <w:sz w:val="24"/>
        </w:rPr>
      </w:pPr>
      <w:r>
        <w:rPr>
          <w:sz w:val="24"/>
        </w:rPr>
        <w:t xml:space="preserve"> (5) учинио доступним информацију или документ за који је прописима или службеним актом заснованим на закону одређено да се чува као државна, службена, пословна или друга тајна, односно који је доступан само одређеном кругу лица, а због чијег би одавања могле наступити тешке правне или друге последице по интересе заштићене законом који претежу над интересом за приступ информацији.  </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 xml:space="preserve">Основно јавно тужилаштво неће тражиоцу омогућити остваривање права на приступ информацијама од јавног значаја ако би тиме повредио право на приватност, право на углед или које друго право лица на које се тражена информација лично односи, осим: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0"/>
        <w:jc w:val="both"/>
        <w:outlineLvl w:val="4"/>
        <w:rPr>
          <w:sz w:val="24"/>
        </w:rPr>
      </w:pPr>
      <w:r>
        <w:rPr>
          <w:sz w:val="24"/>
        </w:rPr>
        <w:t xml:space="preserve">(1)  ако је лице на то пристало; </w:t>
      </w:r>
    </w:p>
    <w:p>
      <w:pPr>
        <w:numPr>
          <w:ilvl w:val="0"/>
          <w:numId w:val="0"/>
        </w:numPr>
        <w:bidi w:val="0"/>
        <w:ind w:left="0" w:right="0" w:firstLine="0"/>
        <w:jc w:val="both"/>
        <w:outlineLvl w:val="4"/>
        <w:rPr>
          <w:sz w:val="24"/>
        </w:rPr>
      </w:pPr>
      <w:r>
        <w:rPr>
          <w:sz w:val="24"/>
        </w:rPr>
        <w:t xml:space="preserve">(2) ако се ради о личности, појави или догађају од интереса за јавност, а нарочито ако се ради о носиоцу државне и политичке функције и ако је информација важна с обзиром на функцију коју то лице врши; </w:t>
      </w:r>
    </w:p>
    <w:p>
      <w:pPr>
        <w:numPr>
          <w:ilvl w:val="0"/>
          <w:numId w:val="0"/>
        </w:numPr>
        <w:bidi w:val="0"/>
        <w:ind w:left="0" w:right="0" w:firstLine="0"/>
        <w:jc w:val="both"/>
        <w:outlineLvl w:val="4"/>
        <w:rPr>
          <w:sz w:val="24"/>
        </w:rPr>
      </w:pPr>
      <w:r>
        <w:rPr>
          <w:sz w:val="24"/>
        </w:rPr>
        <w:t>(3) ако се ради о лицу које је својим понашањем, нарочито у вези са приватним животом, дало повода за тражење информације.</w:t>
      </w:r>
    </w:p>
    <w:p>
      <w:pPr>
        <w:bidi w:val="0"/>
        <w:jc w:val="both"/>
        <w:rPr>
          <w:b/>
          <w:sz w:val="24"/>
        </w:rPr>
      </w:pPr>
    </w:p>
    <w:p>
      <w:pPr>
        <w:bidi w:val="0"/>
        <w:jc w:val="both"/>
        <w:rPr>
          <w:b/>
          <w:sz w:val="24"/>
        </w:rPr>
      </w:pPr>
    </w:p>
    <w:p>
      <w:pPr>
        <w:bidi w:val="0"/>
        <w:jc w:val="both"/>
        <w:rPr>
          <w:b/>
          <w:sz w:val="24"/>
        </w:rPr>
      </w:pPr>
    </w:p>
    <w:p>
      <w:pPr>
        <w:numPr>
          <w:ilvl w:val="0"/>
          <w:numId w:val="0"/>
        </w:numPr>
        <w:bidi w:val="0"/>
        <w:ind w:left="0" w:right="0" w:firstLine="0"/>
        <w:jc w:val="center"/>
        <w:outlineLvl w:val="0"/>
        <w:rPr>
          <w:b/>
          <w:sz w:val="24"/>
        </w:rPr>
      </w:pPr>
      <w:bookmarkStart w:id="17" w:name="_Toc517172851"/>
      <w:bookmarkEnd w:id="17"/>
      <w:r>
        <w:rPr>
          <w:b/>
          <w:sz w:val="24"/>
        </w:rPr>
        <w:t>XX  -  ИНФОРМАЦИЈЕ О ПОДНОШЕЊУ ЗАХТЕВА ЗА ПРИСТУП ИНФОРМАЦИЈАМА</w:t>
      </w:r>
    </w:p>
    <w:p>
      <w:pPr>
        <w:bidi w:val="0"/>
        <w:jc w:val="both"/>
        <w:rPr>
          <w:b/>
          <w:sz w:val="24"/>
        </w:rPr>
      </w:pPr>
    </w:p>
    <w:p>
      <w:pPr>
        <w:bidi w:val="0"/>
        <w:jc w:val="both"/>
        <w:rPr>
          <w:b/>
          <w:sz w:val="24"/>
        </w:rPr>
      </w:pPr>
    </w:p>
    <w:p>
      <w:pPr>
        <w:numPr>
          <w:ilvl w:val="0"/>
          <w:numId w:val="0"/>
        </w:numPr>
        <w:bidi w:val="0"/>
        <w:ind w:left="0" w:right="0" w:firstLine="720"/>
        <w:jc w:val="both"/>
        <w:outlineLvl w:val="1"/>
        <w:rPr>
          <w:b/>
          <w:sz w:val="24"/>
        </w:rPr>
      </w:pPr>
      <w:bookmarkStart w:id="18" w:name="_Toc517172852"/>
      <w:r>
        <w:rPr>
          <w:b/>
          <w:sz w:val="24"/>
        </w:rPr>
        <w:t>1. Захтев за обавештење, увид и издавање копије и упућивање</w:t>
      </w:r>
      <w:bookmarkEnd w:id="18"/>
      <w:r>
        <w:rPr>
          <w:b/>
          <w:sz w:val="24"/>
        </w:rPr>
        <w:t xml:space="preserve"> </w:t>
      </w:r>
    </w:p>
    <w:p>
      <w:pPr>
        <w:bidi w:val="0"/>
        <w:jc w:val="both"/>
        <w:rPr>
          <w:sz w:val="24"/>
        </w:rPr>
      </w:pPr>
      <w:r>
        <w:rPr>
          <w:sz w:val="24"/>
        </w:rPr>
        <w:t xml:space="preserve">     </w:t>
      </w:r>
    </w:p>
    <w:p>
      <w:pPr>
        <w:numPr>
          <w:ilvl w:val="0"/>
          <w:numId w:val="0"/>
        </w:numPr>
        <w:bidi w:val="0"/>
        <w:ind w:left="0" w:right="0" w:firstLine="720"/>
        <w:jc w:val="both"/>
        <w:outlineLvl w:val="4"/>
        <w:rPr>
          <w:sz w:val="24"/>
        </w:rPr>
      </w:pPr>
      <w:r>
        <w:rPr>
          <w:sz w:val="24"/>
        </w:rPr>
        <w:t xml:space="preserve">Тражилац подноси писмени захтев Основном јавном тужилаштву за остваривање права на приступ информацијама од јавног значаја (у даљем тексту: захтев).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0"/>
        <w:jc w:val="both"/>
        <w:outlineLvl w:val="4"/>
        <w:rPr>
          <w:sz w:val="24"/>
        </w:rPr>
      </w:pPr>
      <w:r>
        <w:rPr>
          <w:sz w:val="24"/>
        </w:rPr>
        <w:t xml:space="preserve">     </w:t>
      </w:r>
      <w:r>
        <w:rPr>
          <w:sz w:val="24"/>
        </w:rPr>
        <w:tab/>
      </w:r>
      <w:r>
        <w:rPr>
          <w:sz w:val="24"/>
        </w:rPr>
        <w:t xml:space="preserve">Захтев мора садржати назив органа власти - Основног јавног тужилаштва, име, презиме и адресу тражиоца, као и што прецизнији опис информације која се тражи.  </w:t>
      </w: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r>
        <w:rPr>
          <w:sz w:val="24"/>
        </w:rPr>
        <w:t xml:space="preserve">    </w:t>
      </w:r>
      <w:r>
        <w:rPr>
          <w:sz w:val="24"/>
        </w:rPr>
        <w:tab/>
      </w:r>
      <w:r>
        <w:rPr>
          <w:sz w:val="24"/>
        </w:rPr>
        <w:t xml:space="preserve"> Тражилац не мора навести разлоге за захтев.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0"/>
        <w:jc w:val="both"/>
        <w:outlineLvl w:val="4"/>
        <w:rPr>
          <w:sz w:val="24"/>
        </w:rPr>
      </w:pPr>
      <w:r>
        <w:rPr>
          <w:sz w:val="24"/>
        </w:rPr>
        <w:t xml:space="preserve"> </w:t>
      </w:r>
      <w:r>
        <w:rPr>
          <w:sz w:val="24"/>
        </w:rPr>
        <w:tab/>
      </w:r>
      <w:r>
        <w:rPr>
          <w:sz w:val="24"/>
        </w:rPr>
        <w:t xml:space="preserve">Ако захтев не садржи наведене податке, односно ако захтев није уредан, овлашћено лице Основног јавног тужилаштва дужно је да, без надокнаде, поучи тражиоца како да те недостатке отклони, односно да достави тражиоцу упутство о допуни. </w:t>
      </w:r>
    </w:p>
    <w:p>
      <w:pPr>
        <w:numPr>
          <w:ilvl w:val="0"/>
          <w:numId w:val="0"/>
        </w:numPr>
        <w:bidi w:val="0"/>
        <w:ind w:left="0" w:right="0" w:firstLine="0"/>
        <w:jc w:val="both"/>
        <w:outlineLvl w:val="4"/>
        <w:rPr>
          <w:b/>
          <w:sz w:val="24"/>
        </w:rPr>
      </w:pPr>
    </w:p>
    <w:p>
      <w:pPr>
        <w:numPr>
          <w:ilvl w:val="0"/>
          <w:numId w:val="0"/>
        </w:numPr>
        <w:bidi w:val="0"/>
        <w:ind w:left="0" w:right="0" w:firstLine="720"/>
        <w:jc w:val="both"/>
        <w:outlineLvl w:val="4"/>
        <w:rPr>
          <w:sz w:val="24"/>
        </w:rPr>
      </w:pPr>
      <w:r>
        <w:rPr>
          <w:sz w:val="24"/>
        </w:rPr>
        <w:t xml:space="preserve">Ако тражилац не отклони недостатке у одређеном року, односно у року од 15 дана од дана пријема упутства о допуни, а недостаци су такви да се по захтеву не може поступати, орган власти донеће закључак о одбацивању захтева као неуредног.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0"/>
        <w:jc w:val="both"/>
        <w:outlineLvl w:val="4"/>
        <w:rPr>
          <w:sz w:val="24"/>
        </w:rPr>
      </w:pPr>
      <w:r>
        <w:rPr>
          <w:sz w:val="24"/>
        </w:rPr>
        <w:t xml:space="preserve">  </w:t>
      </w:r>
      <w:r>
        <w:rPr>
          <w:sz w:val="24"/>
        </w:rPr>
        <w:tab/>
      </w:r>
      <w:r>
        <w:rPr>
          <w:sz w:val="24"/>
        </w:rPr>
        <w:t xml:space="preserve">Приступ информацијама Основно јавно тужилаштво дужно је да омогући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 Основно јавно тужилаштво може прописати образац за подношење захтева, али мора размотрити и захтев који није сачињен на том обрасцу. </w:t>
      </w:r>
    </w:p>
    <w:p>
      <w:pPr>
        <w:bidi w:val="0"/>
        <w:jc w:val="both"/>
        <w:rPr>
          <w:sz w:val="24"/>
        </w:rPr>
      </w:pPr>
      <w:r>
        <w:rPr>
          <w:sz w:val="24"/>
        </w:rPr>
        <w:t xml:space="preserve"> </w:t>
      </w:r>
    </w:p>
    <w:p>
      <w:pPr>
        <w:bidi w:val="0"/>
        <w:jc w:val="both"/>
        <w:rPr>
          <w:sz w:val="24"/>
        </w:rPr>
      </w:pPr>
    </w:p>
    <w:p>
      <w:pPr>
        <w:numPr>
          <w:ilvl w:val="0"/>
          <w:numId w:val="0"/>
        </w:numPr>
        <w:bidi w:val="0"/>
        <w:ind w:left="0" w:right="0" w:firstLine="720"/>
        <w:jc w:val="both"/>
        <w:outlineLvl w:val="1"/>
        <w:rPr>
          <w:b/>
          <w:sz w:val="24"/>
        </w:rPr>
      </w:pPr>
      <w:bookmarkStart w:id="19" w:name="_Toc517172853"/>
      <w:bookmarkEnd w:id="19"/>
      <w:r>
        <w:rPr>
          <w:b/>
          <w:sz w:val="24"/>
        </w:rPr>
        <w:t>2. Одлучивање по захтеву</w:t>
      </w:r>
    </w:p>
    <w:p>
      <w:pPr>
        <w:bidi w:val="0"/>
        <w:jc w:val="both"/>
        <w:rPr>
          <w:b/>
          <w:sz w:val="24"/>
        </w:rPr>
      </w:pPr>
    </w:p>
    <w:p>
      <w:pPr>
        <w:bidi w:val="0"/>
        <w:jc w:val="both"/>
        <w:rPr>
          <w:b/>
          <w:sz w:val="24"/>
        </w:rPr>
      </w:pPr>
    </w:p>
    <w:p>
      <w:pPr>
        <w:numPr>
          <w:ilvl w:val="0"/>
          <w:numId w:val="0"/>
        </w:numPr>
        <w:bidi w:val="0"/>
        <w:ind w:left="0" w:right="0" w:firstLine="720"/>
        <w:jc w:val="both"/>
        <w:outlineLvl w:val="4"/>
        <w:rPr>
          <w:sz w:val="24"/>
        </w:rPr>
      </w:pPr>
      <w:r>
        <w:rPr>
          <w:sz w:val="24"/>
        </w:rPr>
        <w:t xml:space="preserve">Основно јавно тужилаштво дужно је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му или упути копију тог документа. Копија документа је упућена тражиоцу даном напуштања писарнице органа власти – Основног јавног тужилаштва од кога је информација тражена.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 xml:space="preserve">Ако се захтев односи на информацију за коју се може претпоставити да је од значаја за заштиту живота или слободе неког лица, односно за угрожавање или заштиту здравља становништва и животне средине, Основно јавно тужилаштво мора да обавести тражиоца о поседовању те информације, да му стави на увид документ који садржи тражену информацију, односно да му изда копију тог документа најкасније у року од 48 сати од пријема захтева.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Ако Основно јавно тужилаштво није у могућности, из оправданих разлога, да у горе наведеном року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дужан је да о томе одмах обавести тражиоца и одреди накнадни рок, који не може бити дужи од 40 дана од дана пријема захтева, у коме ће тражиоца обавестити о поседовању информације, ставити му на увид документ који садржи тражену информацију, изда му, односно упути копију тог документа.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Ако Основно јавно тужилаштво на захтев не одговори у року, тражилац може уложити жалбу Поверенику, осим у случајевима утврђеним Законом о слободном приступу информацијама од јавног значаја.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Основно јавно тужилаштво ће заједно са обавештењем о томе да ће тражиоцу ставити на увид документ који садржи тражену информацију, односно издати му копију тог документа, саопштити тражиоцу време, место и начин на који ће му информација бити стављена на увид, износ нужних трошкова израде копије документа, а у случају да не располаже техничким средствима за израду копије, упознаће тражиоца са могућношћу да употребом своје опреме изради копију.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r>
        <w:rPr>
          <w:sz w:val="24"/>
        </w:rPr>
        <w:t>Увид у документ који садржи тражену информацију врши се у службеним просторијама Основног јавног тужилаштва.</w:t>
      </w:r>
    </w:p>
    <w:p>
      <w:pPr>
        <w:numPr>
          <w:ilvl w:val="0"/>
          <w:numId w:val="0"/>
        </w:numPr>
        <w:bidi w:val="0"/>
        <w:ind w:left="0" w:right="0" w:firstLine="0"/>
        <w:jc w:val="both"/>
        <w:outlineLvl w:val="4"/>
        <w:rPr>
          <w:sz w:val="24"/>
        </w:rPr>
      </w:pPr>
    </w:p>
    <w:p>
      <w:pPr>
        <w:numPr>
          <w:ilvl w:val="0"/>
          <w:numId w:val="0"/>
        </w:numPr>
        <w:bidi w:val="0"/>
        <w:ind w:left="0" w:right="0" w:firstLine="720"/>
        <w:jc w:val="both"/>
        <w:outlineLvl w:val="4"/>
        <w:rPr>
          <w:sz w:val="24"/>
        </w:rPr>
      </w:pPr>
      <w:r>
        <w:rPr>
          <w:sz w:val="24"/>
        </w:rPr>
        <w:t>Тражилац може из оправданих разлога тражити да увид у документ који садржи тражену информацију изврши у друго време од времена које му је одредио орган од кога је информација тражена.</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Лицу које није у стању да без пратиоца изврши увид у документ који садржи тражену информацију, омогућиће се да то учини уз помоћ пратиоца.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0"/>
        <w:jc w:val="both"/>
        <w:outlineLvl w:val="4"/>
        <w:rPr>
          <w:sz w:val="24"/>
        </w:rPr>
      </w:pPr>
      <w:r>
        <w:rPr>
          <w:sz w:val="24"/>
        </w:rPr>
        <w:t xml:space="preserve"> </w:t>
      </w:r>
      <w:r>
        <w:rPr>
          <w:sz w:val="24"/>
        </w:rPr>
        <w:tab/>
      </w:r>
      <w:r>
        <w:rPr>
          <w:sz w:val="24"/>
        </w:rPr>
        <w:t>Ако удовољи захтеву, Основно јавно тужилаштво неће издати посебно решење, него ће о томе сачинити службену белешку. Ако Основно јавно тужилаштво одбије да у целини или делимично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дужан је да</w:t>
      </w:r>
      <w:r>
        <w:rPr>
          <w:rFonts w:hint="default"/>
          <w:sz w:val="24"/>
          <w:lang w:val="sr-Cyrl-RS"/>
        </w:rPr>
        <w:t xml:space="preserve"> без одлагања а најкасније у року од 15 дана по пријему захтева</w:t>
      </w:r>
      <w:r>
        <w:rPr>
          <w:sz w:val="24"/>
        </w:rPr>
        <w:t xml:space="preserve">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  </w:t>
      </w:r>
    </w:p>
    <w:p>
      <w:pPr>
        <w:bidi w:val="0"/>
        <w:jc w:val="both"/>
        <w:rPr>
          <w:sz w:val="24"/>
        </w:rPr>
      </w:pPr>
    </w:p>
    <w:p>
      <w:pPr>
        <w:bidi w:val="0"/>
        <w:jc w:val="both"/>
        <w:rPr>
          <w:sz w:val="24"/>
        </w:rPr>
      </w:pPr>
    </w:p>
    <w:p>
      <w:pPr>
        <w:numPr>
          <w:ilvl w:val="0"/>
          <w:numId w:val="0"/>
        </w:numPr>
        <w:bidi w:val="0"/>
        <w:ind w:left="0" w:right="0" w:firstLine="720"/>
        <w:jc w:val="both"/>
        <w:outlineLvl w:val="1"/>
        <w:rPr>
          <w:b/>
          <w:sz w:val="24"/>
        </w:rPr>
      </w:pPr>
      <w:bookmarkStart w:id="20" w:name="_Toc517172854"/>
      <w:bookmarkEnd w:id="20"/>
      <w:r>
        <w:rPr>
          <w:b/>
          <w:sz w:val="24"/>
        </w:rPr>
        <w:t>3.Накнада</w:t>
      </w:r>
    </w:p>
    <w:p>
      <w:pPr>
        <w:bidi w:val="0"/>
        <w:jc w:val="both"/>
        <w:rPr>
          <w:b/>
          <w:sz w:val="24"/>
        </w:rPr>
      </w:pPr>
    </w:p>
    <w:p>
      <w:pPr>
        <w:numPr>
          <w:ilvl w:val="0"/>
          <w:numId w:val="0"/>
        </w:numPr>
        <w:bidi w:val="0"/>
        <w:ind w:left="0" w:right="0" w:firstLine="720"/>
        <w:jc w:val="both"/>
        <w:outlineLvl w:val="4"/>
        <w:rPr>
          <w:sz w:val="24"/>
        </w:rPr>
      </w:pPr>
      <w:r>
        <w:rPr>
          <w:sz w:val="24"/>
        </w:rPr>
        <w:t xml:space="preserve">Увид у документ који садржи тражену информацију је бесплатан. </w:t>
      </w:r>
    </w:p>
    <w:p>
      <w:pPr>
        <w:bidi w:val="0"/>
        <w:jc w:val="both"/>
        <w:rPr>
          <w:sz w:val="24"/>
        </w:rPr>
      </w:pPr>
      <w:r>
        <w:rPr>
          <w:sz w:val="24"/>
        </w:rPr>
        <w:t xml:space="preserve"> </w:t>
      </w:r>
    </w:p>
    <w:p>
      <w:pPr>
        <w:bidi w:val="0"/>
        <w:jc w:val="both"/>
        <w:rPr>
          <w:sz w:val="24"/>
        </w:rPr>
      </w:pPr>
    </w:p>
    <w:p>
      <w:pPr>
        <w:numPr>
          <w:ilvl w:val="0"/>
          <w:numId w:val="0"/>
        </w:numPr>
        <w:bidi w:val="0"/>
        <w:ind w:left="0" w:right="0" w:firstLine="720"/>
        <w:jc w:val="both"/>
        <w:outlineLvl w:val="1"/>
        <w:rPr>
          <w:b/>
          <w:sz w:val="24"/>
        </w:rPr>
      </w:pPr>
      <w:bookmarkStart w:id="21" w:name="_Toc517172855"/>
      <w:bookmarkEnd w:id="21"/>
      <w:r>
        <w:rPr>
          <w:b/>
          <w:sz w:val="24"/>
        </w:rPr>
        <w:t>4. Стављање на увид и израда копије</w:t>
      </w:r>
    </w:p>
    <w:p>
      <w:pPr>
        <w:bidi w:val="0"/>
        <w:jc w:val="both"/>
        <w:rPr>
          <w:b/>
          <w:sz w:val="24"/>
        </w:rPr>
      </w:pPr>
    </w:p>
    <w:p>
      <w:pPr>
        <w:numPr>
          <w:ilvl w:val="0"/>
          <w:numId w:val="0"/>
        </w:numPr>
        <w:bidi w:val="0"/>
        <w:ind w:left="0" w:right="0" w:firstLine="720"/>
        <w:jc w:val="both"/>
        <w:outlineLvl w:val="4"/>
        <w:rPr>
          <w:sz w:val="24"/>
        </w:rPr>
      </w:pPr>
      <w:r>
        <w:rPr>
          <w:sz w:val="24"/>
        </w:rPr>
        <w:t xml:space="preserve">Увид у документ који садржи тражену информацију врши се употребом опреме којом располаже Основно јавно тужилаштво, осим када тражилац захтева да увид изврши употребом сопствене опреме.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 xml:space="preserve">Основно јавно тужилаштво издаје копију документа (фотокопију, ауди копију, видео копију, дигиталну копију и сл.) који садржи тражену информацију у облику у којем се информација налази. </w:t>
      </w:r>
    </w:p>
    <w:p>
      <w:pPr>
        <w:numPr>
          <w:ilvl w:val="0"/>
          <w:numId w:val="0"/>
        </w:numPr>
        <w:bidi w:val="0"/>
        <w:ind w:left="0" w:right="0" w:firstLine="0"/>
        <w:jc w:val="both"/>
        <w:outlineLvl w:val="4"/>
        <w:rPr>
          <w:sz w:val="24"/>
        </w:rPr>
      </w:pPr>
      <w:r>
        <w:rPr>
          <w:sz w:val="24"/>
        </w:rPr>
        <w:t xml:space="preserve"> </w:t>
      </w:r>
    </w:p>
    <w:p>
      <w:pPr>
        <w:numPr>
          <w:ilvl w:val="0"/>
          <w:numId w:val="0"/>
        </w:numPr>
        <w:bidi w:val="0"/>
        <w:ind w:left="0" w:right="0" w:firstLine="720"/>
        <w:jc w:val="both"/>
        <w:outlineLvl w:val="4"/>
        <w:rPr>
          <w:sz w:val="24"/>
        </w:rPr>
      </w:pPr>
      <w:r>
        <w:rPr>
          <w:sz w:val="24"/>
        </w:rPr>
        <w:t>Ако Основно јавно тужилаштво не располаже техничким могућностима за израду копије документа како је наведено, израдиће копију документа у другом облику.</w:t>
      </w:r>
    </w:p>
    <w:p>
      <w:pPr>
        <w:numPr>
          <w:ilvl w:val="0"/>
          <w:numId w:val="0"/>
        </w:numPr>
        <w:bidi w:val="0"/>
        <w:ind w:left="0" w:right="0" w:firstLine="0"/>
        <w:jc w:val="both"/>
        <w:outlineLvl w:val="4"/>
        <w:rPr>
          <w:b/>
          <w:sz w:val="24"/>
        </w:rPr>
      </w:pPr>
    </w:p>
    <w:p>
      <w:pPr>
        <w:numPr>
          <w:ilvl w:val="0"/>
          <w:numId w:val="0"/>
        </w:numPr>
        <w:bidi w:val="0"/>
        <w:ind w:left="0" w:right="0" w:firstLine="720"/>
        <w:jc w:val="both"/>
        <w:outlineLvl w:val="4"/>
        <w:rPr>
          <w:sz w:val="24"/>
        </w:rPr>
      </w:pPr>
      <w:r>
        <w:rPr>
          <w:sz w:val="24"/>
        </w:rPr>
        <w:t>Ако Основно јавно тужилаштво располаже документом који садржи тражену информацију на језику на којем је поднет захтев, дужан је да тражиоцу стави на увид документ и изради копију на језику на којем је поднет захтев.</w:t>
      </w:r>
    </w:p>
    <w:p>
      <w:pPr>
        <w:bidi w:val="0"/>
        <w:jc w:val="left"/>
        <w:rPr>
          <w:b/>
          <w:sz w:val="24"/>
        </w:rPr>
      </w:pPr>
    </w:p>
    <w:p>
      <w:pPr>
        <w:bidi w:val="0"/>
        <w:jc w:val="left"/>
        <w:rPr>
          <w:b/>
          <w:sz w:val="24"/>
        </w:rPr>
      </w:pPr>
    </w:p>
    <w:p>
      <w:pPr>
        <w:numPr>
          <w:ilvl w:val="0"/>
          <w:numId w:val="0"/>
        </w:numPr>
        <w:bidi w:val="0"/>
        <w:ind w:left="0" w:right="0" w:firstLine="720"/>
        <w:jc w:val="left"/>
        <w:outlineLvl w:val="1"/>
        <w:rPr>
          <w:b/>
          <w:sz w:val="24"/>
        </w:rPr>
      </w:pPr>
      <w:bookmarkStart w:id="22" w:name="_Toc517172856"/>
      <w:bookmarkEnd w:id="22"/>
      <w:r>
        <w:rPr>
          <w:b/>
          <w:sz w:val="24"/>
        </w:rPr>
        <w:t>5. Прослеђивање захтева Поверенику</w:t>
      </w:r>
    </w:p>
    <w:p>
      <w:pPr>
        <w:bidi w:val="0"/>
        <w:jc w:val="left"/>
        <w:rPr>
          <w:b/>
          <w:sz w:val="24"/>
        </w:rPr>
      </w:pPr>
    </w:p>
    <w:p>
      <w:pPr>
        <w:bidi w:val="0"/>
        <w:jc w:val="left"/>
        <w:rPr>
          <w:b/>
          <w:sz w:val="24"/>
        </w:rPr>
      </w:pPr>
    </w:p>
    <w:p>
      <w:pPr>
        <w:numPr>
          <w:ilvl w:val="0"/>
          <w:numId w:val="0"/>
        </w:numPr>
        <w:bidi w:val="0"/>
        <w:ind w:left="0" w:right="0" w:firstLine="720"/>
        <w:jc w:val="both"/>
        <w:outlineLvl w:val="4"/>
        <w:rPr>
          <w:sz w:val="24"/>
        </w:rPr>
      </w:pPr>
      <w:r>
        <w:rPr>
          <w:sz w:val="24"/>
        </w:rPr>
        <w:t xml:space="preserve">Када орган власти не поседује документ који садржи тражену информацију, проследиће захтев Поверенику и обавестиће Повереника и тражиоца о томе у чијем се поседу, по његовом знању, документ налази. </w:t>
      </w: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4"/>
        <w:rPr>
          <w:sz w:val="24"/>
        </w:rPr>
      </w:pPr>
    </w:p>
    <w:p>
      <w:pPr>
        <w:numPr>
          <w:ilvl w:val="0"/>
          <w:numId w:val="0"/>
        </w:numPr>
        <w:bidi w:val="0"/>
        <w:ind w:left="0" w:right="0" w:firstLine="720"/>
        <w:jc w:val="both"/>
        <w:outlineLvl w:val="1"/>
        <w:rPr>
          <w:b/>
          <w:sz w:val="24"/>
        </w:rPr>
      </w:pPr>
      <w:bookmarkStart w:id="23" w:name="_Toc517172857"/>
      <w:bookmarkEnd w:id="23"/>
      <w:r>
        <w:rPr>
          <w:b/>
          <w:sz w:val="24"/>
        </w:rPr>
        <w:t>6. Право на жалбу</w:t>
      </w:r>
    </w:p>
    <w:p>
      <w:pPr>
        <w:bidi w:val="0"/>
        <w:jc w:val="left"/>
        <w:rPr>
          <w:sz w:val="24"/>
        </w:rPr>
      </w:pPr>
    </w:p>
    <w:p>
      <w:pPr>
        <w:numPr>
          <w:ilvl w:val="0"/>
          <w:numId w:val="0"/>
        </w:numPr>
        <w:bidi w:val="0"/>
        <w:ind w:left="0" w:right="0" w:firstLine="720"/>
        <w:jc w:val="both"/>
        <w:outlineLvl w:val="4"/>
        <w:rPr>
          <w:sz w:val="24"/>
        </w:rPr>
      </w:pPr>
      <w:r>
        <w:rPr>
          <w:sz w:val="24"/>
        </w:rPr>
        <w:t>Тражилац може изјавити жалбу Поверенику у року од 15 дана од достављања решења Основног јавног тужилаштва, ако:</w:t>
      </w:r>
    </w:p>
    <w:p>
      <w:pPr>
        <w:numPr>
          <w:ilvl w:val="0"/>
          <w:numId w:val="0"/>
        </w:numPr>
        <w:bidi w:val="0"/>
        <w:ind w:left="0" w:right="0" w:firstLine="0"/>
        <w:jc w:val="both"/>
        <w:outlineLvl w:val="4"/>
        <w:rPr>
          <w:sz w:val="24"/>
        </w:rPr>
      </w:pPr>
      <w:r>
        <w:rPr>
          <w:sz w:val="24"/>
        </w:rPr>
        <w:t xml:space="preserve"> </w:t>
      </w:r>
    </w:p>
    <w:p>
      <w:pPr>
        <w:numPr>
          <w:ilvl w:val="0"/>
          <w:numId w:val="3"/>
        </w:numPr>
        <w:bidi w:val="0"/>
        <w:ind w:left="0" w:right="0" w:firstLine="0"/>
        <w:jc w:val="both"/>
        <w:outlineLvl w:val="4"/>
        <w:rPr>
          <w:sz w:val="24"/>
        </w:rPr>
      </w:pPr>
      <w:r>
        <w:rPr>
          <w:sz w:val="24"/>
          <w:lang w:val="sr-Cyrl-RS"/>
        </w:rPr>
        <w:t>Орган</w:t>
      </w:r>
      <w:r>
        <w:rPr>
          <w:rFonts w:hint="default"/>
          <w:sz w:val="24"/>
          <w:lang w:val="sr-Cyrl-RS"/>
        </w:rPr>
        <w:t xml:space="preserve"> власти одбаци или одбије захтев тражиоца</w:t>
      </w:r>
    </w:p>
    <w:p>
      <w:pPr>
        <w:numPr>
          <w:ilvl w:val="0"/>
          <w:numId w:val="0"/>
        </w:numPr>
        <w:bidi w:val="0"/>
        <w:ind w:left="0" w:right="0" w:firstLine="0"/>
        <w:jc w:val="both"/>
        <w:outlineLvl w:val="4"/>
        <w:rPr>
          <w:sz w:val="24"/>
        </w:rPr>
      </w:pPr>
      <w:r>
        <w:rPr>
          <w:sz w:val="24"/>
        </w:rPr>
        <w:t>(</w:t>
      </w:r>
      <w:r>
        <w:rPr>
          <w:rFonts w:hint="default"/>
          <w:sz w:val="24"/>
          <w:lang w:val="sr-Cyrl-RS"/>
        </w:rPr>
        <w:t>2</w:t>
      </w:r>
      <w:r>
        <w:rPr>
          <w:sz w:val="24"/>
        </w:rPr>
        <w:t xml:space="preserve">) орган власти, супротно члану 16. став </w:t>
      </w:r>
      <w:r>
        <w:rPr>
          <w:rFonts w:hint="default"/>
          <w:sz w:val="24"/>
          <w:lang w:val="sr-Cyrl-RS"/>
        </w:rPr>
        <w:t>1 до 3</w:t>
      </w:r>
      <w:r>
        <w:rPr>
          <w:sz w:val="24"/>
        </w:rPr>
        <w:t xml:space="preserve"> Закона о слободном приступу информацијама од јавног значаја, не одговори у прописаном року на захтев тражиоца; </w:t>
      </w:r>
    </w:p>
    <w:p>
      <w:pPr>
        <w:numPr>
          <w:ilvl w:val="0"/>
          <w:numId w:val="0"/>
        </w:numPr>
        <w:bidi w:val="0"/>
        <w:ind w:left="0" w:right="0" w:firstLine="0"/>
        <w:jc w:val="both"/>
        <w:outlineLvl w:val="4"/>
        <w:rPr>
          <w:sz w:val="24"/>
        </w:rPr>
      </w:pPr>
      <w:r>
        <w:rPr>
          <w:sz w:val="24"/>
        </w:rPr>
        <w:t>(</w:t>
      </w:r>
      <w:r>
        <w:rPr>
          <w:rFonts w:hint="default"/>
          <w:sz w:val="24"/>
          <w:lang w:val="sr-Cyrl-RS"/>
        </w:rPr>
        <w:t>3</w:t>
      </w:r>
      <w:r>
        <w:rPr>
          <w:sz w:val="24"/>
        </w:rPr>
        <w:t xml:space="preserve">) Основно јавно тужилаштво, супротно члану 17. став 2. Закона о слободном приступу информацијама од јавног значаја, услови издавање копије документа који садржи тражену информацију уплатом накнаде која превазилази износ нужних трошкова израде те копије; </w:t>
      </w:r>
    </w:p>
    <w:p>
      <w:pPr>
        <w:numPr>
          <w:ilvl w:val="0"/>
          <w:numId w:val="0"/>
        </w:numPr>
        <w:bidi w:val="0"/>
        <w:ind w:left="0" w:right="0" w:firstLine="0"/>
        <w:jc w:val="both"/>
        <w:outlineLvl w:val="4"/>
        <w:rPr>
          <w:sz w:val="24"/>
        </w:rPr>
      </w:pPr>
      <w:r>
        <w:rPr>
          <w:sz w:val="24"/>
        </w:rPr>
        <w:t xml:space="preserve"> (</w:t>
      </w:r>
      <w:r>
        <w:rPr>
          <w:rFonts w:hint="default"/>
          <w:sz w:val="24"/>
          <w:lang w:val="sr-Cyrl-RS"/>
        </w:rPr>
        <w:t>4</w:t>
      </w:r>
      <w:r>
        <w:rPr>
          <w:sz w:val="24"/>
        </w:rPr>
        <w:t xml:space="preserve">) Основно јавно тужилаштво не стави на увид документ који садржи тражену информацију на начин предвиђен чланом 18. став 1. Закона о слободном приступу информацијама од јавног значаја; </w:t>
      </w:r>
    </w:p>
    <w:p>
      <w:pPr>
        <w:numPr>
          <w:ilvl w:val="0"/>
          <w:numId w:val="0"/>
        </w:numPr>
        <w:bidi w:val="0"/>
        <w:ind w:left="0" w:right="0" w:firstLine="0"/>
        <w:jc w:val="both"/>
        <w:outlineLvl w:val="4"/>
        <w:rPr>
          <w:sz w:val="24"/>
        </w:rPr>
      </w:pPr>
      <w:r>
        <w:rPr>
          <w:sz w:val="24"/>
        </w:rPr>
        <w:t>(</w:t>
      </w:r>
      <w:r>
        <w:rPr>
          <w:rFonts w:hint="default"/>
          <w:sz w:val="24"/>
          <w:lang w:val="sr-Cyrl-RS"/>
        </w:rPr>
        <w:t>5</w:t>
      </w:r>
      <w:r>
        <w:rPr>
          <w:sz w:val="24"/>
        </w:rPr>
        <w:t xml:space="preserve">) орган власти не стави на увид документ који садржи тражену информацију, односно не изда копију тог документа на начин предвиђен чланом 18 став 4 Закона о слободном приступи информацијама од јавног значаја.   </w:t>
      </w:r>
    </w:p>
    <w:p>
      <w:pPr>
        <w:numPr>
          <w:ilvl w:val="0"/>
          <w:numId w:val="0"/>
        </w:numPr>
        <w:bidi w:val="0"/>
        <w:ind w:left="0" w:right="0" w:firstLine="0"/>
        <w:jc w:val="both"/>
        <w:outlineLvl w:val="4"/>
        <w:rPr>
          <w:sz w:val="24"/>
        </w:rPr>
      </w:pPr>
      <w:r>
        <w:rPr>
          <w:rFonts w:hint="default"/>
          <w:sz w:val="24"/>
          <w:lang w:val="sr-Cyrl-RS"/>
        </w:rPr>
        <w:t xml:space="preserve">(6) орган власти на други начин отежава или онемогућава тражиоцу остваривање права на слободан приступ информацијама од јавног значаја супротно одредбама </w:t>
      </w:r>
      <w:r>
        <w:rPr>
          <w:sz w:val="24"/>
        </w:rPr>
        <w:t xml:space="preserve">Закона о слободном приступи информацијама од јавног значаја. </w:t>
      </w:r>
    </w:p>
    <w:p>
      <w:pPr>
        <w:numPr>
          <w:ilvl w:val="0"/>
          <w:numId w:val="0"/>
        </w:numPr>
        <w:bidi w:val="0"/>
        <w:ind w:left="0" w:right="0" w:firstLine="0"/>
        <w:jc w:val="both"/>
        <w:outlineLvl w:val="4"/>
        <w:rPr>
          <w:rFonts w:hint="default"/>
          <w:sz w:val="24"/>
          <w:lang w:val="sr-Cyrl-RS"/>
        </w:rPr>
      </w:pPr>
    </w:p>
    <w:p>
      <w:pPr>
        <w:numPr>
          <w:ilvl w:val="0"/>
          <w:numId w:val="0"/>
        </w:numPr>
        <w:bidi w:val="0"/>
        <w:ind w:left="0" w:right="0" w:firstLine="0"/>
        <w:jc w:val="both"/>
        <w:outlineLvl w:val="4"/>
        <w:rPr>
          <w:rFonts w:hint="default"/>
          <w:sz w:val="24"/>
          <w:lang w:val="sr-Cyrl-RS"/>
        </w:rPr>
      </w:pPr>
      <w:r>
        <w:rPr>
          <w:sz w:val="24"/>
        </w:rPr>
        <w:t xml:space="preserve"> </w:t>
      </w:r>
      <w:r>
        <w:rPr>
          <w:rFonts w:hint="default"/>
          <w:sz w:val="24"/>
          <w:lang w:val="sr-Cyrl-RS"/>
        </w:rPr>
        <w:t xml:space="preserve"> </w:t>
      </w:r>
      <w:r>
        <w:rPr>
          <w:rFonts w:hint="default"/>
          <w:sz w:val="24"/>
          <w:lang w:val="sr-Cyrl-RS"/>
        </w:rPr>
        <w:tab/>
      </w:r>
      <w:r>
        <w:rPr>
          <w:rFonts w:hint="default"/>
          <w:sz w:val="24"/>
          <w:lang w:val="sr-Cyrl-RS"/>
        </w:rPr>
        <w:t xml:space="preserve"> Против решења Повереника којим се одлучује о захтеву који је поднет поверенику као органу власти не може се уложити жалба. </w:t>
      </w:r>
    </w:p>
    <w:p>
      <w:pPr>
        <w:numPr>
          <w:ilvl w:val="0"/>
          <w:numId w:val="0"/>
        </w:numPr>
        <w:bidi w:val="0"/>
        <w:ind w:left="0" w:right="0" w:firstLine="0"/>
        <w:jc w:val="both"/>
        <w:outlineLvl w:val="4"/>
        <w:rPr>
          <w:rFonts w:hint="default"/>
          <w:sz w:val="24"/>
          <w:lang w:val="sr-Cyrl-RS"/>
        </w:rPr>
      </w:pPr>
    </w:p>
    <w:p>
      <w:pPr>
        <w:numPr>
          <w:ilvl w:val="0"/>
          <w:numId w:val="0"/>
        </w:numPr>
        <w:bidi w:val="0"/>
        <w:ind w:left="0" w:right="0" w:firstLine="720"/>
        <w:jc w:val="both"/>
        <w:outlineLvl w:val="4"/>
        <w:rPr>
          <w:sz w:val="24"/>
        </w:rPr>
      </w:pPr>
      <w:r>
        <w:rPr>
          <w:sz w:val="24"/>
        </w:rPr>
        <w:t>Против решења Народне скупштине, председника Републике, Владе Републике Србије, Врховног суда Србије, Уставног суда и Републичког јавног тужиоца не може се изјавити жалба, већ се може покренути управни спор, у складу са законом, о чему суд по службеној дужности обавештава Повереника.</w:t>
      </w: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rFonts w:hint="default"/>
          <w:sz w:val="24"/>
          <w:lang w:val="en-US"/>
        </w:rPr>
      </w:pPr>
    </w:p>
    <w:p>
      <w:pPr>
        <w:numPr>
          <w:ilvl w:val="0"/>
          <w:numId w:val="0"/>
        </w:numPr>
        <w:bidi w:val="0"/>
        <w:ind w:left="0" w:right="0" w:firstLine="0"/>
        <w:jc w:val="both"/>
        <w:outlineLvl w:val="4"/>
        <w:rPr>
          <w:rFonts w:hint="default"/>
          <w:sz w:val="24"/>
          <w:lang w:val="en-US"/>
        </w:rPr>
      </w:pPr>
    </w:p>
    <w:p>
      <w:pPr>
        <w:numPr>
          <w:ilvl w:val="0"/>
          <w:numId w:val="0"/>
        </w:numPr>
        <w:bidi w:val="0"/>
        <w:ind w:left="0" w:right="0" w:firstLine="0"/>
        <w:jc w:val="both"/>
        <w:outlineLvl w:val="4"/>
        <w:rPr>
          <w:rFonts w:hint="default"/>
          <w:sz w:val="24"/>
          <w:lang w:val="en-US"/>
        </w:rPr>
      </w:pPr>
    </w:p>
    <w:p>
      <w:pPr>
        <w:numPr>
          <w:ilvl w:val="0"/>
          <w:numId w:val="0"/>
        </w:numPr>
        <w:bidi w:val="0"/>
        <w:ind w:left="0" w:right="0" w:firstLine="0"/>
        <w:jc w:val="both"/>
        <w:outlineLvl w:val="4"/>
        <w:rPr>
          <w:rFonts w:hint="default"/>
          <w:sz w:val="24"/>
          <w:lang w:val="en-US"/>
        </w:rPr>
      </w:pPr>
    </w:p>
    <w:p>
      <w:pPr>
        <w:numPr>
          <w:ilvl w:val="0"/>
          <w:numId w:val="0"/>
        </w:numPr>
        <w:bidi w:val="0"/>
        <w:ind w:left="0" w:right="0" w:firstLine="0"/>
        <w:jc w:val="both"/>
        <w:outlineLvl w:val="4"/>
        <w:rPr>
          <w:rFonts w:hint="default"/>
          <w:sz w:val="24"/>
          <w:lang w:val="en-US"/>
        </w:rPr>
      </w:pPr>
    </w:p>
    <w:p>
      <w:pPr>
        <w:numPr>
          <w:ilvl w:val="0"/>
          <w:numId w:val="0"/>
        </w:numPr>
        <w:bidi w:val="0"/>
        <w:ind w:left="0" w:right="0" w:firstLine="0"/>
        <w:jc w:val="both"/>
        <w:outlineLvl w:val="4"/>
        <w:rPr>
          <w:rFonts w:hint="default"/>
          <w:sz w:val="24"/>
          <w:lang w:val="en-US"/>
        </w:rPr>
      </w:pPr>
    </w:p>
    <w:p>
      <w:pPr>
        <w:numPr>
          <w:ilvl w:val="0"/>
          <w:numId w:val="0"/>
        </w:numPr>
        <w:bidi w:val="0"/>
        <w:ind w:left="0" w:right="0" w:firstLine="0"/>
        <w:jc w:val="both"/>
        <w:outlineLvl w:val="4"/>
        <w:rPr>
          <w:rFonts w:hint="default"/>
          <w:sz w:val="24"/>
          <w:lang w:val="en-US"/>
        </w:rPr>
      </w:pPr>
    </w:p>
    <w:p>
      <w:pPr>
        <w:numPr>
          <w:ilvl w:val="0"/>
          <w:numId w:val="0"/>
        </w:numPr>
        <w:bidi w:val="0"/>
        <w:ind w:left="0" w:right="0" w:firstLine="0"/>
        <w:jc w:val="both"/>
        <w:outlineLvl w:val="4"/>
        <w:rPr>
          <w:rFonts w:hint="default"/>
          <w:sz w:val="24"/>
          <w:lang w:val="en-US"/>
        </w:rPr>
      </w:pPr>
    </w:p>
    <w:p>
      <w:pPr>
        <w:numPr>
          <w:ilvl w:val="0"/>
          <w:numId w:val="0"/>
        </w:numPr>
        <w:bidi w:val="0"/>
        <w:ind w:left="0" w:right="0" w:firstLine="0"/>
        <w:jc w:val="both"/>
        <w:outlineLvl w:val="4"/>
        <w:rPr>
          <w:rFonts w:hint="default"/>
          <w:sz w:val="24"/>
          <w:lang w:val="en-US"/>
        </w:rPr>
      </w:pPr>
    </w:p>
    <w:p>
      <w:pPr>
        <w:numPr>
          <w:ilvl w:val="0"/>
          <w:numId w:val="0"/>
        </w:numPr>
        <w:bidi w:val="0"/>
        <w:ind w:left="0" w:right="0" w:firstLine="0"/>
        <w:jc w:val="both"/>
        <w:outlineLvl w:val="4"/>
        <w:rPr>
          <w:rFonts w:hint="default"/>
          <w:sz w:val="24"/>
          <w:lang w:val="en-US"/>
        </w:rPr>
      </w:pPr>
    </w:p>
    <w:p>
      <w:pPr>
        <w:numPr>
          <w:ilvl w:val="0"/>
          <w:numId w:val="0"/>
        </w:numPr>
        <w:bidi w:val="0"/>
        <w:ind w:left="0" w:right="0" w:firstLine="0"/>
        <w:jc w:val="both"/>
        <w:outlineLvl w:val="4"/>
        <w:rPr>
          <w:rFonts w:hint="default"/>
          <w:sz w:val="24"/>
          <w:lang w:val="en-US"/>
        </w:rPr>
      </w:pPr>
    </w:p>
    <w:p>
      <w:pPr>
        <w:numPr>
          <w:ilvl w:val="0"/>
          <w:numId w:val="0"/>
        </w:numPr>
        <w:bidi w:val="0"/>
        <w:ind w:left="0" w:right="0" w:firstLine="0"/>
        <w:jc w:val="both"/>
        <w:outlineLvl w:val="4"/>
        <w:rPr>
          <w:rFonts w:hint="default"/>
          <w:sz w:val="24"/>
          <w:lang w:val="en-US"/>
        </w:rPr>
      </w:pPr>
    </w:p>
    <w:p>
      <w:pPr>
        <w:numPr>
          <w:ilvl w:val="0"/>
          <w:numId w:val="0"/>
        </w:numPr>
        <w:bidi w:val="0"/>
        <w:ind w:left="0" w:right="0" w:firstLine="0"/>
        <w:jc w:val="both"/>
        <w:outlineLvl w:val="4"/>
        <w:rPr>
          <w:rFonts w:hint="default"/>
          <w:sz w:val="24"/>
          <w:lang w:val="en-US"/>
        </w:rPr>
      </w:pPr>
    </w:p>
    <w:p>
      <w:pPr>
        <w:numPr>
          <w:ilvl w:val="0"/>
          <w:numId w:val="0"/>
        </w:numPr>
        <w:bidi w:val="0"/>
        <w:ind w:left="0" w:right="0" w:firstLine="0"/>
        <w:jc w:val="both"/>
        <w:outlineLvl w:val="4"/>
        <w:rPr>
          <w:rFonts w:hint="default"/>
          <w:sz w:val="24"/>
          <w:lang w:val="en-US"/>
        </w:rPr>
      </w:pPr>
    </w:p>
    <w:p>
      <w:pPr>
        <w:numPr>
          <w:ilvl w:val="0"/>
          <w:numId w:val="0"/>
        </w:numPr>
        <w:bidi w:val="0"/>
        <w:ind w:left="0" w:right="0" w:firstLine="0"/>
        <w:jc w:val="both"/>
        <w:outlineLvl w:val="4"/>
        <w:rPr>
          <w:rFonts w:hint="default"/>
          <w:sz w:val="24"/>
          <w:lang w:val="en-US"/>
        </w:rPr>
      </w:pPr>
    </w:p>
    <w:p>
      <w:pPr>
        <w:numPr>
          <w:ilvl w:val="0"/>
          <w:numId w:val="0"/>
        </w:numPr>
        <w:bidi w:val="0"/>
        <w:ind w:left="0" w:right="0" w:firstLine="0"/>
        <w:jc w:val="both"/>
        <w:outlineLvl w:val="4"/>
        <w:rPr>
          <w:rFonts w:hint="default"/>
          <w:sz w:val="24"/>
          <w:lang w:val="en-US"/>
        </w:rPr>
      </w:pPr>
    </w:p>
    <w:p>
      <w:pPr>
        <w:numPr>
          <w:ilvl w:val="0"/>
          <w:numId w:val="0"/>
        </w:numPr>
        <w:bidi w:val="0"/>
        <w:ind w:left="0" w:right="0" w:firstLine="0"/>
        <w:jc w:val="both"/>
        <w:outlineLvl w:val="4"/>
        <w:rPr>
          <w:rFonts w:hint="default"/>
          <w:sz w:val="24"/>
          <w:lang w:val="en-US"/>
        </w:rPr>
      </w:pPr>
    </w:p>
    <w:p>
      <w:pPr>
        <w:numPr>
          <w:ilvl w:val="0"/>
          <w:numId w:val="0"/>
        </w:numPr>
        <w:bidi w:val="0"/>
        <w:ind w:left="0" w:right="0" w:firstLine="0"/>
        <w:jc w:val="both"/>
        <w:outlineLvl w:val="4"/>
        <w:rPr>
          <w:rFonts w:hint="default"/>
          <w:sz w:val="24"/>
          <w:lang w:val="en-US"/>
        </w:rPr>
      </w:pPr>
    </w:p>
    <w:p>
      <w:pPr>
        <w:numPr>
          <w:ilvl w:val="0"/>
          <w:numId w:val="0"/>
        </w:numPr>
        <w:bidi w:val="0"/>
        <w:ind w:left="0" w:right="0" w:firstLine="0"/>
        <w:jc w:val="both"/>
        <w:outlineLvl w:val="4"/>
        <w:rPr>
          <w:rFonts w:hint="default"/>
          <w:sz w:val="24"/>
          <w:lang w:val="en-US"/>
        </w:rPr>
      </w:pPr>
    </w:p>
    <w:p>
      <w:pPr>
        <w:numPr>
          <w:ilvl w:val="0"/>
          <w:numId w:val="0"/>
        </w:numPr>
        <w:bidi w:val="0"/>
        <w:ind w:left="0" w:right="0" w:firstLine="0"/>
        <w:jc w:val="both"/>
        <w:outlineLvl w:val="4"/>
        <w:rPr>
          <w:rFonts w:hint="default"/>
          <w:sz w:val="24"/>
          <w:lang w:val="en-US"/>
        </w:rPr>
      </w:pPr>
    </w:p>
    <w:p>
      <w:pPr>
        <w:numPr>
          <w:ilvl w:val="0"/>
          <w:numId w:val="0"/>
        </w:numPr>
        <w:bidi w:val="0"/>
        <w:ind w:left="0" w:right="0" w:firstLine="0"/>
        <w:jc w:val="both"/>
        <w:outlineLvl w:val="4"/>
        <w:rPr>
          <w:rFonts w:hint="default"/>
          <w:sz w:val="24"/>
          <w:lang w:val="en-US"/>
        </w:rPr>
      </w:pPr>
    </w:p>
    <w:p>
      <w:pPr>
        <w:numPr>
          <w:ilvl w:val="0"/>
          <w:numId w:val="0"/>
        </w:numPr>
        <w:bidi w:val="0"/>
        <w:ind w:left="0" w:right="0" w:firstLine="0"/>
        <w:jc w:val="both"/>
        <w:outlineLvl w:val="4"/>
        <w:rPr>
          <w:rFonts w:hint="default"/>
          <w:sz w:val="24"/>
          <w:lang w:val="en-US"/>
        </w:rPr>
      </w:pPr>
    </w:p>
    <w:p>
      <w:pPr>
        <w:numPr>
          <w:ilvl w:val="0"/>
          <w:numId w:val="0"/>
        </w:numPr>
        <w:bidi w:val="0"/>
        <w:ind w:left="0" w:right="0" w:firstLine="0"/>
        <w:jc w:val="both"/>
        <w:outlineLvl w:val="4"/>
        <w:rPr>
          <w:rFonts w:hint="default"/>
          <w:sz w:val="24"/>
          <w:lang w:val="en-US"/>
        </w:rPr>
      </w:pPr>
    </w:p>
    <w:p>
      <w:pPr>
        <w:numPr>
          <w:ilvl w:val="0"/>
          <w:numId w:val="0"/>
        </w:numPr>
        <w:bidi w:val="0"/>
        <w:ind w:left="0" w:right="0" w:firstLine="0"/>
        <w:jc w:val="both"/>
        <w:outlineLvl w:val="4"/>
        <w:rPr>
          <w:rFonts w:hint="default"/>
          <w:sz w:val="24"/>
          <w:lang w:val="en-US"/>
        </w:rPr>
      </w:pPr>
    </w:p>
    <w:p>
      <w:pPr>
        <w:numPr>
          <w:ilvl w:val="0"/>
          <w:numId w:val="0"/>
        </w:numPr>
        <w:bidi w:val="0"/>
        <w:ind w:left="0" w:right="0" w:firstLine="0"/>
        <w:jc w:val="both"/>
        <w:outlineLvl w:val="4"/>
        <w:rPr>
          <w:rFonts w:hint="default"/>
          <w:sz w:val="24"/>
          <w:lang w:val="en-US"/>
        </w:rPr>
      </w:pPr>
    </w:p>
    <w:p>
      <w:pPr>
        <w:numPr>
          <w:ilvl w:val="0"/>
          <w:numId w:val="0"/>
        </w:numPr>
        <w:bidi w:val="0"/>
        <w:ind w:left="0" w:right="0" w:firstLine="0"/>
        <w:jc w:val="both"/>
        <w:outlineLvl w:val="4"/>
        <w:rPr>
          <w:sz w:val="24"/>
        </w:rPr>
      </w:pPr>
    </w:p>
    <w:p>
      <w:pPr>
        <w:numPr>
          <w:ilvl w:val="0"/>
          <w:numId w:val="0"/>
        </w:numPr>
        <w:bidi w:val="0"/>
        <w:ind w:left="0" w:right="0" w:firstLine="0"/>
        <w:jc w:val="center"/>
        <w:outlineLvl w:val="4"/>
        <w:rPr>
          <w:sz w:val="24"/>
        </w:rPr>
      </w:pPr>
      <w:r>
        <w:rPr>
          <w:sz w:val="24"/>
        </w:rPr>
        <w:t>С А Д Р Ж А Ј</w:t>
      </w:r>
    </w:p>
    <w:p>
      <w:pPr>
        <w:numPr>
          <w:ilvl w:val="0"/>
          <w:numId w:val="0"/>
        </w:numPr>
        <w:bidi w:val="0"/>
        <w:ind w:left="0" w:right="0" w:firstLine="0"/>
        <w:jc w:val="both"/>
        <w:outlineLvl w:val="4"/>
        <w:rPr>
          <w:sz w:val="24"/>
        </w:rPr>
      </w:pPr>
    </w:p>
    <w:p>
      <w:pPr>
        <w:numPr>
          <w:ilvl w:val="0"/>
          <w:numId w:val="0"/>
        </w:numPr>
        <w:bidi w:val="0"/>
        <w:ind w:left="0" w:right="0" w:firstLine="0"/>
        <w:jc w:val="both"/>
        <w:outlineLvl w:val="4"/>
        <w:rPr>
          <w:sz w:val="24"/>
        </w:rPr>
      </w:pPr>
    </w:p>
    <w:p>
      <w:pPr>
        <w:numPr>
          <w:ilvl w:val="0"/>
          <w:numId w:val="4"/>
        </w:numPr>
        <w:bidi w:val="0"/>
        <w:spacing w:before="0" w:after="0"/>
        <w:jc w:val="left"/>
        <w:outlineLvl w:val="4"/>
        <w:rPr>
          <w:sz w:val="24"/>
        </w:rPr>
      </w:pPr>
      <w:r>
        <w:rPr>
          <w:color w:val="000000"/>
          <w:sz w:val="24"/>
        </w:rPr>
        <w:t>ОСНОВНИ ПОДАЦИ О ДРЖАВНОМ ОРГАНУ И ИНФОРМАТОРУ...........................2</w:t>
      </w:r>
    </w:p>
    <w:p>
      <w:pPr>
        <w:numPr>
          <w:ilvl w:val="0"/>
          <w:numId w:val="4"/>
        </w:numPr>
        <w:bidi w:val="0"/>
        <w:spacing w:before="0" w:after="0"/>
        <w:jc w:val="left"/>
        <w:outlineLvl w:val="0"/>
        <w:rPr>
          <w:color w:val="000000"/>
          <w:sz w:val="24"/>
        </w:rPr>
      </w:pPr>
      <w:r>
        <w:rPr>
          <w:color w:val="000000"/>
          <w:sz w:val="24"/>
        </w:rPr>
        <w:t>ОРГАНИЗАЦИОНА СТРУКТУРА......................................................................................3</w:t>
      </w:r>
    </w:p>
    <w:p>
      <w:pPr>
        <w:numPr>
          <w:ilvl w:val="0"/>
          <w:numId w:val="4"/>
        </w:numPr>
        <w:bidi w:val="0"/>
        <w:spacing w:before="0" w:after="0"/>
        <w:jc w:val="left"/>
        <w:outlineLvl w:val="0"/>
        <w:rPr>
          <w:color w:val="000000"/>
          <w:sz w:val="24"/>
        </w:rPr>
      </w:pPr>
      <w:r>
        <w:rPr>
          <w:color w:val="000000"/>
          <w:sz w:val="24"/>
        </w:rPr>
        <w:t>ОПИС ФУНКЦИЈА СТАРЕШИНА......................................................................................</w:t>
      </w:r>
      <w:r>
        <w:rPr>
          <w:rFonts w:hint="default"/>
          <w:color w:val="000000"/>
          <w:sz w:val="24"/>
          <w:lang w:val="sr-Cyrl-RS"/>
        </w:rPr>
        <w:t>7</w:t>
      </w:r>
    </w:p>
    <w:p>
      <w:pPr>
        <w:numPr>
          <w:ilvl w:val="0"/>
          <w:numId w:val="4"/>
        </w:numPr>
        <w:bidi w:val="0"/>
        <w:spacing w:before="0" w:after="0"/>
        <w:jc w:val="left"/>
        <w:outlineLvl w:val="0"/>
        <w:rPr>
          <w:color w:val="000000"/>
          <w:sz w:val="24"/>
        </w:rPr>
      </w:pPr>
      <w:r>
        <w:rPr>
          <w:color w:val="000000"/>
          <w:sz w:val="24"/>
        </w:rPr>
        <w:t>ОПИС ПРАВИЛА У ВЕЗИ СА ЈАВНОШЋУ РАДА..........................................................</w:t>
      </w:r>
      <w:r>
        <w:rPr>
          <w:rFonts w:hint="default"/>
          <w:color w:val="000000"/>
          <w:sz w:val="24"/>
          <w:lang w:val="sr-Cyrl-RS"/>
        </w:rPr>
        <w:t>7</w:t>
      </w:r>
    </w:p>
    <w:p>
      <w:pPr>
        <w:numPr>
          <w:ilvl w:val="0"/>
          <w:numId w:val="4"/>
        </w:numPr>
        <w:bidi w:val="0"/>
        <w:spacing w:before="0" w:after="0"/>
        <w:jc w:val="left"/>
        <w:outlineLvl w:val="0"/>
        <w:rPr>
          <w:color w:val="000000"/>
          <w:sz w:val="24"/>
        </w:rPr>
      </w:pPr>
      <w:r>
        <w:rPr>
          <w:sz w:val="24"/>
        </w:rPr>
        <w:t>СПИСАК НАЈЧЕШЋЕ ТРАЖЕНИХ ИНФОРМАЦИЈА ОД ЈАВНОГ ЗНАЧАЈА……..</w:t>
      </w:r>
      <w:r>
        <w:rPr>
          <w:rFonts w:hint="default"/>
          <w:sz w:val="24"/>
          <w:lang w:val="sr-Cyrl-RS"/>
        </w:rPr>
        <w:t>8</w:t>
      </w:r>
    </w:p>
    <w:p>
      <w:pPr>
        <w:numPr>
          <w:ilvl w:val="0"/>
          <w:numId w:val="4"/>
        </w:numPr>
        <w:bidi w:val="0"/>
        <w:spacing w:before="0" w:after="0"/>
        <w:jc w:val="left"/>
        <w:outlineLvl w:val="0"/>
        <w:rPr>
          <w:sz w:val="24"/>
        </w:rPr>
      </w:pPr>
      <w:r>
        <w:rPr>
          <w:sz w:val="24"/>
        </w:rPr>
        <w:t>ОПИС НАДЛЕЖНОСТИ, ОВЛАШЋЕЊА И ОБАВЕЗА………………………………...</w:t>
      </w:r>
      <w:r>
        <w:rPr>
          <w:sz w:val="24"/>
          <w:lang w:val="zh-CN"/>
        </w:rPr>
        <w:t>9</w:t>
      </w:r>
    </w:p>
    <w:p>
      <w:pPr>
        <w:numPr>
          <w:ilvl w:val="0"/>
          <w:numId w:val="4"/>
        </w:numPr>
        <w:bidi w:val="0"/>
        <w:spacing w:before="0" w:after="0"/>
        <w:jc w:val="left"/>
        <w:outlineLvl w:val="0"/>
        <w:rPr>
          <w:sz w:val="24"/>
        </w:rPr>
      </w:pPr>
      <w:r>
        <w:rPr>
          <w:sz w:val="24"/>
        </w:rPr>
        <w:t>ОПИС ПОСТУПАЊА У ОКВИРУ НАДЛЕЖНОСТИ, ОВЛАШЋЕЊА И ОБАВЕЗА..............................................................................................................................1</w:t>
      </w:r>
      <w:r>
        <w:rPr>
          <w:rFonts w:hint="default"/>
          <w:sz w:val="24"/>
          <w:lang w:val="sr-Cyrl-RS"/>
        </w:rPr>
        <w:t>4</w:t>
      </w:r>
    </w:p>
    <w:p>
      <w:pPr>
        <w:numPr>
          <w:ilvl w:val="0"/>
          <w:numId w:val="4"/>
        </w:numPr>
        <w:bidi w:val="0"/>
        <w:spacing w:before="0" w:after="0"/>
        <w:jc w:val="left"/>
        <w:outlineLvl w:val="0"/>
        <w:rPr>
          <w:color w:val="000000"/>
          <w:sz w:val="24"/>
        </w:rPr>
      </w:pPr>
      <w:r>
        <w:rPr>
          <w:color w:val="000000"/>
          <w:sz w:val="24"/>
        </w:rPr>
        <w:t>НАВОЂЕЊЕ</w:t>
      </w:r>
      <w:r>
        <w:rPr>
          <w:rFonts w:hint="default"/>
          <w:color w:val="000000"/>
          <w:sz w:val="24"/>
          <w:lang w:val="sr-Cyrl-RS"/>
        </w:rPr>
        <w:t xml:space="preserve"> </w:t>
      </w:r>
      <w:r>
        <w:rPr>
          <w:color w:val="000000"/>
          <w:sz w:val="24"/>
        </w:rPr>
        <w:t>ПРОПИСА......................................................</w:t>
      </w:r>
      <w:r>
        <w:rPr>
          <w:color w:val="000000"/>
          <w:sz w:val="24"/>
          <w:lang w:val="zh-CN"/>
        </w:rPr>
        <w:t>..</w:t>
      </w:r>
      <w:r>
        <w:rPr>
          <w:color w:val="000000"/>
          <w:sz w:val="24"/>
        </w:rPr>
        <w:t>.............................................1</w:t>
      </w:r>
      <w:r>
        <w:rPr>
          <w:rFonts w:hint="default"/>
          <w:color w:val="000000"/>
          <w:sz w:val="24"/>
          <w:lang w:val="sr-Cyrl-RS"/>
        </w:rPr>
        <w:t>6</w:t>
      </w:r>
    </w:p>
    <w:p>
      <w:pPr>
        <w:numPr>
          <w:ilvl w:val="0"/>
          <w:numId w:val="4"/>
        </w:numPr>
        <w:bidi w:val="0"/>
        <w:spacing w:before="0" w:after="0"/>
        <w:jc w:val="left"/>
        <w:outlineLvl w:val="0"/>
        <w:rPr>
          <w:sz w:val="24"/>
        </w:rPr>
      </w:pPr>
      <w:r>
        <w:rPr>
          <w:sz w:val="24"/>
        </w:rPr>
        <w:t>УСЛУГЕ КОЈЕ ОРГАН ПРУЖА ЗАИНТЕРЕСОВАНИМ Л</w:t>
      </w:r>
      <w:r>
        <w:rPr>
          <w:sz w:val="24"/>
          <w:lang w:val="zh-CN"/>
        </w:rPr>
        <w:t>И</w:t>
      </w:r>
      <w:r>
        <w:rPr>
          <w:sz w:val="24"/>
        </w:rPr>
        <w:t>ЦИМА............................1</w:t>
      </w:r>
      <w:r>
        <w:rPr>
          <w:rFonts w:hint="default"/>
          <w:sz w:val="24"/>
          <w:lang w:val="sr-Cyrl-RS"/>
        </w:rPr>
        <w:t>7</w:t>
      </w:r>
    </w:p>
    <w:p>
      <w:pPr>
        <w:numPr>
          <w:ilvl w:val="0"/>
          <w:numId w:val="4"/>
        </w:numPr>
        <w:bidi w:val="0"/>
        <w:spacing w:before="0" w:after="0"/>
        <w:jc w:val="left"/>
        <w:outlineLvl w:val="0"/>
        <w:rPr>
          <w:sz w:val="24"/>
        </w:rPr>
      </w:pPr>
      <w:r>
        <w:rPr>
          <w:sz w:val="24"/>
        </w:rPr>
        <w:t>ПОСТУПАК РАДИ ПРУЖАЊА УСЛУГА.......................................................................1</w:t>
      </w:r>
      <w:r>
        <w:rPr>
          <w:rFonts w:hint="default"/>
          <w:sz w:val="24"/>
          <w:lang w:val="sr-Cyrl-RS"/>
        </w:rPr>
        <w:t>8</w:t>
      </w:r>
    </w:p>
    <w:p>
      <w:pPr>
        <w:numPr>
          <w:ilvl w:val="0"/>
          <w:numId w:val="4"/>
        </w:numPr>
        <w:bidi w:val="0"/>
        <w:spacing w:before="0" w:after="0"/>
        <w:jc w:val="left"/>
        <w:outlineLvl w:val="0"/>
        <w:rPr>
          <w:sz w:val="24"/>
        </w:rPr>
      </w:pPr>
      <w:r>
        <w:rPr>
          <w:sz w:val="24"/>
        </w:rPr>
        <w:t>ПРЕГЛЕД ПОДАТАКА О ПРУЖЕНИМ УСЛУГАМА………………………………...</w:t>
      </w:r>
      <w:r>
        <w:rPr>
          <w:rFonts w:hint="default"/>
          <w:sz w:val="24"/>
          <w:lang w:val="sr-Cyrl-RS"/>
        </w:rPr>
        <w:t>20</w:t>
      </w:r>
    </w:p>
    <w:p>
      <w:pPr>
        <w:numPr>
          <w:ilvl w:val="0"/>
          <w:numId w:val="4"/>
        </w:numPr>
        <w:bidi w:val="0"/>
        <w:spacing w:before="0" w:after="0"/>
        <w:jc w:val="left"/>
        <w:outlineLvl w:val="0"/>
        <w:rPr>
          <w:sz w:val="24"/>
        </w:rPr>
      </w:pPr>
      <w:r>
        <w:rPr>
          <w:sz w:val="24"/>
        </w:rPr>
        <w:t>ПОДАЦИ О ПРИХОДИМА И РАСХОДИМА…………………………………………..</w:t>
      </w:r>
      <w:r>
        <w:rPr>
          <w:rFonts w:hint="default"/>
          <w:sz w:val="24"/>
          <w:lang w:val="sr-Cyrl-RS"/>
        </w:rPr>
        <w:t>21</w:t>
      </w:r>
    </w:p>
    <w:p>
      <w:pPr>
        <w:numPr>
          <w:ilvl w:val="0"/>
          <w:numId w:val="4"/>
        </w:numPr>
        <w:bidi w:val="0"/>
        <w:spacing w:before="0" w:after="0"/>
        <w:jc w:val="left"/>
        <w:outlineLvl w:val="0"/>
        <w:rPr>
          <w:sz w:val="24"/>
        </w:rPr>
      </w:pPr>
      <w:r>
        <w:rPr>
          <w:sz w:val="24"/>
        </w:rPr>
        <w:t>ПОДАЦИ О ИСПЛАЋЕНИМ ПЛАТАМА, ЗАРАДАМА И ДРУГИМ ПРИМАЊИМА.....................................................................................................................</w:t>
      </w:r>
      <w:r>
        <w:rPr>
          <w:rFonts w:hint="default" w:eastAsiaTheme="minorEastAsia" w:cstheme="minorBidi"/>
          <w:color w:val="000000"/>
          <w:position w:val="0"/>
          <w:sz w:val="24"/>
          <w:u w:val="none"/>
          <w:shd w:val="clear" w:fill="FFFFFF"/>
          <w:vertAlign w:val="baseline"/>
          <w:lang w:val="sr-Cyrl-RS"/>
        </w:rPr>
        <w:t>22</w:t>
      </w:r>
    </w:p>
    <w:p>
      <w:pPr>
        <w:numPr>
          <w:ilvl w:val="0"/>
          <w:numId w:val="4"/>
        </w:numPr>
        <w:bidi w:val="0"/>
        <w:spacing w:before="0" w:after="0"/>
        <w:jc w:val="left"/>
        <w:outlineLvl w:val="0"/>
        <w:rPr>
          <w:sz w:val="24"/>
        </w:rPr>
      </w:pPr>
      <w:r>
        <w:rPr>
          <w:sz w:val="24"/>
        </w:rPr>
        <w:t>ПОДАЦИ О ЈАВНИМ НАБАВКАМА...............................................................................</w:t>
      </w:r>
      <w:r>
        <w:rPr>
          <w:rFonts w:hint="default"/>
          <w:sz w:val="24"/>
          <w:lang w:val="sr-Cyrl-RS"/>
        </w:rPr>
        <w:t>24</w:t>
      </w:r>
    </w:p>
    <w:p>
      <w:pPr>
        <w:numPr>
          <w:ilvl w:val="0"/>
          <w:numId w:val="4"/>
        </w:numPr>
        <w:bidi w:val="0"/>
        <w:spacing w:before="0" w:after="0"/>
        <w:jc w:val="left"/>
        <w:outlineLvl w:val="0"/>
        <w:rPr>
          <w:sz w:val="24"/>
        </w:rPr>
      </w:pPr>
      <w:r>
        <w:rPr>
          <w:sz w:val="24"/>
        </w:rPr>
        <w:t>ПОДАЦИ О СРЕДСТВИМА РАДА...................................................................................2</w:t>
      </w:r>
      <w:r>
        <w:rPr>
          <w:rFonts w:hint="default"/>
          <w:sz w:val="24"/>
          <w:lang w:val="sr-Cyrl-RS"/>
        </w:rPr>
        <w:t>4</w:t>
      </w:r>
    </w:p>
    <w:p>
      <w:pPr>
        <w:numPr>
          <w:ilvl w:val="0"/>
          <w:numId w:val="4"/>
        </w:numPr>
        <w:bidi w:val="0"/>
        <w:spacing w:before="0" w:after="0"/>
        <w:jc w:val="left"/>
        <w:outlineLvl w:val="0"/>
        <w:rPr>
          <w:sz w:val="24"/>
        </w:rPr>
      </w:pPr>
      <w:r>
        <w:rPr>
          <w:sz w:val="24"/>
        </w:rPr>
        <w:t>ПОДАЦИ О ДРЖАВНОЈ ПОМОЋИ..................................................................................2</w:t>
      </w:r>
      <w:r>
        <w:rPr>
          <w:rFonts w:hint="default"/>
          <w:sz w:val="24"/>
          <w:lang w:val="sr-Cyrl-RS"/>
        </w:rPr>
        <w:t>4</w:t>
      </w:r>
    </w:p>
    <w:p>
      <w:pPr>
        <w:numPr>
          <w:ilvl w:val="0"/>
          <w:numId w:val="4"/>
        </w:numPr>
        <w:bidi w:val="0"/>
        <w:spacing w:before="0" w:after="0"/>
        <w:jc w:val="left"/>
        <w:outlineLvl w:val="0"/>
        <w:rPr>
          <w:sz w:val="24"/>
        </w:rPr>
      </w:pPr>
      <w:r>
        <w:rPr>
          <w:sz w:val="24"/>
        </w:rPr>
        <w:t>ЧУВАЊЕ НОСАЧА ИНФОРМАЦИЈА..............................................................................2</w:t>
      </w:r>
      <w:r>
        <w:rPr>
          <w:rFonts w:hint="default"/>
          <w:sz w:val="24"/>
          <w:lang w:val="sr-Cyrl-RS"/>
        </w:rPr>
        <w:t>5</w:t>
      </w:r>
    </w:p>
    <w:p>
      <w:pPr>
        <w:numPr>
          <w:ilvl w:val="0"/>
          <w:numId w:val="4"/>
        </w:numPr>
        <w:bidi w:val="0"/>
        <w:spacing w:before="0" w:after="0"/>
        <w:jc w:val="left"/>
        <w:outlineLvl w:val="0"/>
        <w:rPr>
          <w:sz w:val="24"/>
        </w:rPr>
      </w:pPr>
      <w:r>
        <w:rPr>
          <w:sz w:val="24"/>
        </w:rPr>
        <w:t>ВРСТЕ ИНФОРМАЦИЈА У ПОСЕДУ...............................................................................2</w:t>
      </w:r>
      <w:r>
        <w:rPr>
          <w:rFonts w:hint="default"/>
          <w:sz w:val="24"/>
          <w:lang w:val="sr-Cyrl-RS"/>
        </w:rPr>
        <w:t>7</w:t>
      </w:r>
    </w:p>
    <w:p>
      <w:pPr>
        <w:numPr>
          <w:ilvl w:val="0"/>
          <w:numId w:val="4"/>
        </w:numPr>
        <w:bidi w:val="0"/>
        <w:spacing w:before="0" w:after="0"/>
        <w:jc w:val="left"/>
        <w:outlineLvl w:val="0"/>
        <w:rPr>
          <w:sz w:val="24"/>
        </w:rPr>
      </w:pPr>
      <w:r>
        <w:rPr>
          <w:sz w:val="24"/>
        </w:rPr>
        <w:t>ВРСТЕ ИНФОРМАЦИЈА КОЈИМА ДРЖАВНИ ОРГАН ОМОГУЋАВА ПРИСТУП.............................................................................................................................2</w:t>
      </w:r>
      <w:r>
        <w:rPr>
          <w:rFonts w:hint="default"/>
          <w:sz w:val="24"/>
          <w:lang w:val="sr-Cyrl-RS"/>
        </w:rPr>
        <w:t>8</w:t>
      </w:r>
    </w:p>
    <w:p>
      <w:pPr>
        <w:numPr>
          <w:ilvl w:val="0"/>
          <w:numId w:val="4"/>
        </w:numPr>
        <w:bidi w:val="0"/>
        <w:jc w:val="left"/>
        <w:outlineLvl w:val="0"/>
        <w:rPr>
          <w:sz w:val="24"/>
        </w:rPr>
      </w:pPr>
      <w:r>
        <w:rPr>
          <w:sz w:val="24"/>
        </w:rPr>
        <w:t>ИНФОРМАЦИЈЕ О ПОДНОШЕЊУ ЗАХТЕВА ЗА ПРИСТУП ИНФОРМАЦИЈАМА...........................................................................................................2</w:t>
      </w:r>
      <w:r>
        <w:rPr>
          <w:rFonts w:hint="default"/>
          <w:sz w:val="24"/>
          <w:lang w:val="sr-Cyrl-RS"/>
        </w:rPr>
        <w:t>9</w:t>
      </w:r>
    </w:p>
    <w:p>
      <w:pPr>
        <w:numPr>
          <w:ilvl w:val="0"/>
          <w:numId w:val="5"/>
        </w:numPr>
        <w:bidi w:val="0"/>
        <w:spacing w:before="0" w:after="0"/>
        <w:jc w:val="left"/>
        <w:outlineLvl w:val="0"/>
        <w:rPr>
          <w:sz w:val="24"/>
        </w:rPr>
      </w:pPr>
      <w:r>
        <w:rPr>
          <w:sz w:val="24"/>
        </w:rPr>
        <w:t>Захтев за обавештење, увид и издавање копије и упућивање....................................</w:t>
      </w:r>
      <w:r>
        <w:rPr>
          <w:rFonts w:hint="default"/>
          <w:sz w:val="24"/>
          <w:lang w:val="sr-Cyrl-RS"/>
        </w:rPr>
        <w:t>29</w:t>
      </w:r>
    </w:p>
    <w:p>
      <w:pPr>
        <w:numPr>
          <w:ilvl w:val="0"/>
          <w:numId w:val="5"/>
        </w:numPr>
        <w:bidi w:val="0"/>
        <w:spacing w:before="0" w:after="0"/>
        <w:jc w:val="left"/>
        <w:outlineLvl w:val="1"/>
        <w:rPr>
          <w:sz w:val="24"/>
        </w:rPr>
      </w:pPr>
      <w:r>
        <w:rPr>
          <w:sz w:val="24"/>
        </w:rPr>
        <w:t>Одлучивање по захтеву..................................................................................................</w:t>
      </w:r>
      <w:r>
        <w:rPr>
          <w:rFonts w:hint="default"/>
          <w:sz w:val="24"/>
          <w:lang w:val="sr-Cyrl-RS"/>
        </w:rPr>
        <w:t>30</w:t>
      </w:r>
    </w:p>
    <w:p>
      <w:pPr>
        <w:numPr>
          <w:ilvl w:val="0"/>
          <w:numId w:val="5"/>
        </w:numPr>
        <w:bidi w:val="0"/>
        <w:spacing w:before="0" w:after="0"/>
        <w:jc w:val="left"/>
        <w:outlineLvl w:val="1"/>
        <w:rPr>
          <w:sz w:val="24"/>
        </w:rPr>
      </w:pPr>
      <w:r>
        <w:rPr>
          <w:sz w:val="24"/>
        </w:rPr>
        <w:t>Накнада............................................................................................................................</w:t>
      </w:r>
      <w:r>
        <w:rPr>
          <w:rFonts w:hint="default"/>
          <w:sz w:val="24"/>
          <w:lang w:val="sr-Cyrl-RS"/>
        </w:rPr>
        <w:t>31</w:t>
      </w:r>
    </w:p>
    <w:p>
      <w:pPr>
        <w:numPr>
          <w:ilvl w:val="0"/>
          <w:numId w:val="5"/>
        </w:numPr>
        <w:bidi w:val="0"/>
        <w:spacing w:before="0" w:after="0"/>
        <w:jc w:val="left"/>
        <w:outlineLvl w:val="1"/>
        <w:rPr>
          <w:sz w:val="24"/>
        </w:rPr>
      </w:pPr>
      <w:r>
        <w:rPr>
          <w:sz w:val="24"/>
        </w:rPr>
        <w:t>Стављање на увид и израда копије...............................................................................</w:t>
      </w:r>
      <w:r>
        <w:rPr>
          <w:rFonts w:hint="default"/>
          <w:sz w:val="24"/>
          <w:lang w:val="sr-Cyrl-RS"/>
        </w:rPr>
        <w:t>31</w:t>
      </w:r>
    </w:p>
    <w:p>
      <w:pPr>
        <w:numPr>
          <w:ilvl w:val="0"/>
          <w:numId w:val="5"/>
        </w:numPr>
        <w:bidi w:val="0"/>
        <w:spacing w:before="0" w:after="0"/>
        <w:jc w:val="left"/>
        <w:outlineLvl w:val="1"/>
        <w:rPr>
          <w:sz w:val="24"/>
        </w:rPr>
      </w:pPr>
      <w:r>
        <w:rPr>
          <w:sz w:val="24"/>
        </w:rPr>
        <w:t>Прослеђивање захтева Поверенику..............................................................................</w:t>
      </w:r>
      <w:r>
        <w:rPr>
          <w:rFonts w:hint="default"/>
          <w:sz w:val="24"/>
          <w:lang w:val="sr-Cyrl-RS"/>
        </w:rPr>
        <w:t>32</w:t>
      </w:r>
    </w:p>
    <w:p>
      <w:pPr>
        <w:numPr>
          <w:ilvl w:val="0"/>
          <w:numId w:val="5"/>
        </w:numPr>
        <w:bidi w:val="0"/>
        <w:jc w:val="left"/>
        <w:outlineLvl w:val="1"/>
        <w:rPr>
          <w:sz w:val="24"/>
        </w:rPr>
      </w:pPr>
      <w:r>
        <w:rPr>
          <w:sz w:val="24"/>
        </w:rPr>
        <w:t>Право на жалбу...............................................................................................................</w:t>
      </w:r>
      <w:r>
        <w:rPr>
          <w:rFonts w:hint="default"/>
          <w:sz w:val="24"/>
          <w:lang w:val="sr-Cyrl-RS"/>
        </w:rPr>
        <w:t>32</w:t>
      </w:r>
    </w:p>
    <w:p>
      <w:pPr>
        <w:numPr>
          <w:ilvl w:val="0"/>
          <w:numId w:val="0"/>
        </w:numPr>
        <w:bidi w:val="0"/>
        <w:ind w:left="0" w:right="0" w:firstLine="0"/>
        <w:jc w:val="center"/>
        <w:outlineLvl w:val="4"/>
        <w:rPr>
          <w:b/>
          <w:sz w:val="24"/>
        </w:rPr>
      </w:pPr>
    </w:p>
    <w:p>
      <w:pPr>
        <w:numPr>
          <w:ilvl w:val="0"/>
          <w:numId w:val="0"/>
        </w:numPr>
        <w:bidi w:val="0"/>
        <w:ind w:left="0" w:right="0" w:firstLine="0"/>
        <w:jc w:val="center"/>
        <w:outlineLvl w:val="4"/>
        <w:rPr>
          <w:sz w:val="24"/>
        </w:rPr>
      </w:pPr>
    </w:p>
    <w:p>
      <w:pPr>
        <w:numPr>
          <w:ilvl w:val="0"/>
          <w:numId w:val="0"/>
        </w:numPr>
        <w:bidi w:val="0"/>
        <w:ind w:left="0" w:right="0" w:firstLine="0"/>
        <w:jc w:val="center"/>
        <w:outlineLvl w:val="4"/>
        <w:rPr>
          <w:sz w:val="24"/>
        </w:rPr>
      </w:pPr>
    </w:p>
    <w:p>
      <w:pPr>
        <w:numPr>
          <w:ilvl w:val="0"/>
          <w:numId w:val="0"/>
        </w:numPr>
        <w:bidi w:val="0"/>
        <w:ind w:left="0" w:right="0" w:firstLine="0"/>
        <w:jc w:val="center"/>
        <w:outlineLvl w:val="4"/>
        <w:rPr>
          <w:b/>
          <w:sz w:val="24"/>
          <w:lang w:val="sr-Cyrl-RS"/>
        </w:rPr>
      </w:pPr>
      <w:r>
        <w:rPr>
          <w:rFonts w:hint="default"/>
          <w:b/>
          <w:sz w:val="24"/>
          <w:lang w:val="sr-Cyrl-RS"/>
        </w:rPr>
        <w:t xml:space="preserve">                                                              </w:t>
      </w:r>
    </w:p>
    <w:p>
      <w:pPr>
        <w:numPr>
          <w:ilvl w:val="0"/>
          <w:numId w:val="0"/>
        </w:numPr>
        <w:bidi w:val="0"/>
        <w:ind w:left="0" w:right="0" w:firstLine="0"/>
        <w:jc w:val="right"/>
        <w:outlineLvl w:val="4"/>
        <w:rPr>
          <w:rFonts w:hint="default"/>
          <w:b/>
          <w:sz w:val="24"/>
          <w:lang w:val="sr-Cyrl-RS"/>
        </w:rPr>
      </w:pPr>
      <w:r>
        <w:rPr>
          <w:rFonts w:hint="default"/>
          <w:b/>
          <w:sz w:val="24"/>
          <w:lang w:val="sr-Cyrl-RS"/>
        </w:rPr>
        <w:t>В.Ф.</w:t>
      </w:r>
      <w:r>
        <w:rPr>
          <w:b/>
          <w:sz w:val="24"/>
          <w:lang w:val="sr-Cyrl-RS"/>
        </w:rPr>
        <w:t>ГЛАВНОГ</w:t>
      </w:r>
      <w:r>
        <w:rPr>
          <w:rFonts w:hint="default"/>
          <w:b/>
          <w:sz w:val="24"/>
          <w:lang w:val="sr-Cyrl-RS"/>
        </w:rPr>
        <w:t xml:space="preserve"> ЈАВНОГ ТУЖИОЦА</w:t>
      </w:r>
    </w:p>
    <w:p>
      <w:pPr>
        <w:ind w:firstLine="5163" w:firstLineChars="2150"/>
        <w:rPr>
          <w:rFonts w:hint="default"/>
          <w:lang w:val="sr-Cyrl-RS"/>
        </w:rPr>
      </w:pPr>
      <w:r>
        <w:rPr>
          <w:b/>
          <w:sz w:val="24"/>
          <w:lang w:val="sr-Cyrl-RS"/>
        </w:rPr>
        <w:t>Биљана</w:t>
      </w:r>
      <w:r>
        <w:rPr>
          <w:rFonts w:hint="default"/>
          <w:b/>
          <w:sz w:val="24"/>
          <w:lang w:val="sr-Cyrl-RS"/>
        </w:rPr>
        <w:t xml:space="preserve"> Милосављевић</w:t>
      </w:r>
    </w:p>
    <w:p/>
    <w:sectPr>
      <w:footerReference r:id="rId7" w:type="default"/>
      <w:pgSz w:w="11906" w:h="16838"/>
      <w:pgMar w:top="1440" w:right="1800" w:bottom="1440" w:left="1800" w:header="720" w:footer="720" w:gutter="0"/>
      <w:pgNumType w:fmt="decimal"/>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j.miletic" w:date="2022-01-14T12:55:25Z" w:initials="j">
    <w:p w14:paraId="4E601844">
      <w:pPr>
        <w:pStyle w:val="4"/>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E60184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Times New Roman"/>
    <w:panose1 w:val="00000000000000000000"/>
    <w:charset w:val="EE"/>
    <w:family w:val="auto"/>
    <w:pitch w:val="default"/>
    <w:sig w:usb0="00000000" w:usb1="00000000" w:usb2="00000000" w:usb3="00000000" w:csb0="00040001" w:csb1="00000000"/>
  </w:font>
  <w:font w:name="Open Sans">
    <w:altName w:val="Times New Roman"/>
    <w:panose1 w:val="00000000000000000000"/>
    <w:charset w:val="EE"/>
    <w:family w:val="auto"/>
    <w:pitch w:val="default"/>
    <w:sig w:usb0="00000000" w:usb1="00000000" w:usb2="00000000" w:usb3="00000000" w:csb0="00040001"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i/>
        <w:iCs/>
        <w:lang w:val="sr-Cyrl-RS"/>
      </w:rPr>
    </w:pPr>
    <w:r>
      <w:rPr>
        <w:i/>
        <w:iCs/>
        <w:lang w:val="sr-Cyrl-RS"/>
      </w:rPr>
      <w:t>Информатор</w:t>
    </w:r>
    <w:r>
      <w:rPr>
        <w:rFonts w:hint="default"/>
        <w:i/>
        <w:iCs/>
        <w:lang w:val="sr-Cyrl-RS"/>
      </w:rPr>
      <w:t xml:space="preserve"> о раду Основног јавног тужилаштва у Куршумлији</w:t>
    </w:r>
  </w:p>
  <w:p>
    <w:pPr>
      <w:pStyle w:val="5"/>
      <w:rPr>
        <w:rFonts w:hint="default"/>
        <w:i/>
        <w:iCs/>
        <w:lang w:val="sr-Cyrl-RS"/>
      </w:rPr>
    </w:pPr>
    <w:r>
      <w:rPr>
        <w:rFonts w:hint="default"/>
        <w:i/>
        <w:iCs/>
        <w:lang w:val="sr-Cyrl-RS"/>
      </w:rPr>
      <w:t xml:space="preserve"> Датум последњег ажурирања 02.02.2023.године</w:t>
    </w:r>
  </w:p>
  <w:p>
    <w:pPr>
      <w:pStyle w:val="5"/>
      <w:rPr>
        <w:rFonts w:hint="default"/>
        <w:i/>
        <w:iCs/>
        <w:lang w:val="sr-Cyrl-R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i/>
        <w:iCs/>
        <w:lang w:val="sr-Cyrl-RS"/>
      </w:rPr>
    </w:pPr>
    <w:r>
      <w:rPr>
        <w:i/>
        <w:iCs/>
        <w:lang w:val="sr-Cyrl-RS"/>
      </w:rPr>
      <w:t>Информатор</w:t>
    </w:r>
    <w:r>
      <w:rPr>
        <w:rFonts w:hint="default"/>
        <w:i/>
        <w:iCs/>
        <w:lang w:val="sr-Cyrl-RS"/>
      </w:rPr>
      <w:t xml:space="preserve"> о раду Основног јавног тужилаштва у Куршумлији</w:t>
    </w:r>
  </w:p>
  <w:p>
    <w:pPr>
      <w:pStyle w:val="5"/>
      <w:rPr>
        <w:rFonts w:hint="default"/>
        <w:i/>
        <w:iCs/>
        <w:lang w:val="sr-Cyrl-RS"/>
      </w:rPr>
    </w:pPr>
    <w:r>
      <w:rPr>
        <w:rFonts w:hint="default"/>
        <w:i/>
        <w:iCs/>
        <w:lang w:val="sr-Cyrl-RS"/>
      </w:rPr>
      <w:t xml:space="preserve"> Датум последњег ажурирања 26.05.2023.гдине</w:t>
    </w:r>
  </w:p>
  <w:p>
    <w:pPr>
      <w:pStyle w:val="5"/>
      <w:rPr>
        <w:rFonts w:hint="default"/>
        <w:i/>
        <w:iCs/>
        <w:lang w:val="sr-Cyrl-RS"/>
      </w:rPr>
    </w:pPr>
  </w:p>
  <w:p>
    <w:pPr>
      <w:pStyle w:val="5"/>
      <w:rPr>
        <w:rFonts w:hint="default"/>
        <w:i/>
        <w:iCs/>
        <w:lang w:val="sr-Cyrl-R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JLuGUohAgAA&#10;YAQAAA4AAAAAAAAAAQAgAAAAHwEAAGRycy9lMm9Eb2MueG1sUEsFBgAAAAAGAAYAWQEAALIFAAAA&#10;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ind w:left="1069"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
    <w:nsid w:val="CF092B84"/>
    <w:multiLevelType w:val="multilevel"/>
    <w:tmpl w:val="CF092B8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E63F9DF7"/>
    <w:multiLevelType w:val="singleLevel"/>
    <w:tmpl w:val="E63F9DF7"/>
    <w:lvl w:ilvl="0" w:tentative="0">
      <w:start w:val="1"/>
      <w:numFmt w:val="decimal"/>
      <w:suff w:val="space"/>
      <w:lvlText w:val="(%1)"/>
      <w:lvlJc w:val="left"/>
    </w:lvl>
  </w:abstractNum>
  <w:abstractNum w:abstractNumId="3">
    <w:nsid w:val="0053208E"/>
    <w:multiLevelType w:val="multilevel"/>
    <w:tmpl w:val="0053208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9ADCABA"/>
    <w:multiLevelType w:val="multilevel"/>
    <w:tmpl w:val="59ADCABA"/>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miletic">
    <w15:presenceInfo w15:providerId="None" w15:userId="j.milet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9E59E6"/>
    <w:rsid w:val="030A244E"/>
    <w:rsid w:val="0B9D6FDF"/>
    <w:rsid w:val="292753C6"/>
    <w:rsid w:val="3D67378C"/>
    <w:rsid w:val="3D911D59"/>
    <w:rsid w:val="4FAD7A3D"/>
    <w:rsid w:val="516C4B87"/>
    <w:rsid w:val="56247A3D"/>
    <w:rsid w:val="6D6B43FD"/>
    <w:rsid w:val="789E59E6"/>
    <w:rsid w:val="7E891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left"/>
    </w:pPr>
    <w:rPr>
      <w:rFonts w:ascii="Times New Roman" w:hAnsi="Times New Roman" w:eastAsia="Times New Roman" w:cs="Times New Roman"/>
      <w:color w:val="00000A"/>
      <w:sz w:val="20"/>
      <w:szCs w:val="20"/>
      <w:lang w:val="sr-Latn-RS" w:eastAsia="zh-CN" w:bidi="hi-IN"/>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character" w:styleId="7">
    <w:name w:val="HTML Cite"/>
    <w:basedOn w:val="2"/>
    <w:qFormat/>
    <w:uiPriority w:val="0"/>
    <w:rPr>
      <w:i/>
      <w:iCs/>
    </w:rPr>
  </w:style>
  <w:style w:type="character" w:styleId="8">
    <w:name w:val="Hyperlink"/>
    <w:basedOn w:val="2"/>
    <w:qFormat/>
    <w:uiPriority w:val="0"/>
    <w:rPr>
      <w:color w:val="0000FF"/>
      <w:u w:val="single"/>
    </w:rPr>
  </w:style>
  <w:style w:type="paragraph" w:styleId="9">
    <w:name w:val="Normal (Web)"/>
    <w:basedOn w:val="1"/>
    <w:qFormat/>
    <w:uiPriority w:val="0"/>
    <w:rPr>
      <w:sz w:val="24"/>
      <w:szCs w:val="24"/>
    </w:rPr>
  </w:style>
  <w:style w:type="character" w:styleId="10">
    <w:name w:val="Strong"/>
    <w:basedOn w:val="2"/>
    <w:qFormat/>
    <w:uiPriority w:val="0"/>
    <w:rPr>
      <w:b/>
      <w:bCs/>
    </w:rPr>
  </w:style>
  <w:style w:type="table" w:customStyle="1" w:styleId="11">
    <w:name w:val="Table Normal1"/>
    <w:qFormat/>
    <w:uiPriority w:val="0"/>
    <w:tblPr>
      <w:tblCellMar>
        <w:top w:w="0" w:type="dxa"/>
        <w:left w:w="108" w:type="dxa"/>
        <w:bottom w:w="0" w:type="dxa"/>
        <w:right w:w="108" w:type="dxa"/>
      </w:tblCellMar>
    </w:tblPr>
  </w:style>
  <w:style w:type="paragraph" w:styleId="12">
    <w:name w:val="List Paragraph"/>
    <w:basedOn w:val="1"/>
    <w:qFormat/>
    <w:uiPriority w:val="0"/>
    <w:pPr>
      <w:ind w:left="720" w:right="0" w:firstLine="0"/>
    </w:pPr>
  </w:style>
  <w:style w:type="paragraph" w:customStyle="1" w:styleId="13">
    <w:name w:val="Frame Contents"/>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71</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2022-10-11T07:39:00Z</dcterms:created>
  <dc:creator>j.miletic</dc:creator>
  <cp:lastModifiedBy>j.miletic</cp:lastModifiedBy>
  <cp:lastPrinted>2023-05-26T11:28:00Z</cp:lastPrinted>
  <dcterms:modified xsi:type="dcterms:W3CDTF">2023-05-30T07:55:28Z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0572FD7E0A624AB08033BE316D0BD172</vt:lpwstr>
  </property>
</Properties>
</file>