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160" w:hanging="0"/>
        <w:jc w:val="center"/>
        <w:rPr>
          <w:sz w:val="40"/>
          <w:szCs w:val="40"/>
        </w:rPr>
      </w:pPr>
      <w:r>
        <w:rPr>
          <w:b/>
          <w:bCs/>
          <w:sz w:val="28"/>
          <w:szCs w:val="28"/>
        </w:rPr>
        <w:t>ЛИСТА ПИТАЊА ЗА ТЕСТИРАЊЕ ОПШТЕ ФУНКЦИОНАЛНЕ КОМПЕТЕНЦИЈЕ:</w:t>
      </w:r>
    </w:p>
    <w:p>
      <w:pPr>
        <w:pStyle w:val="Normal"/>
        <w:spacing w:lineRule="auto" w:line="235"/>
        <w:ind w:right="1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35"/>
        <w:ind w:right="16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ОРГАНИЗАЦИЈА И РАД ДРЖАВНИХ ОРГАНА РЕПУБЛИКЕ СРБИЈЕ </w:t>
      </w:r>
    </w:p>
    <w:p>
      <w:pPr>
        <w:pStyle w:val="Normal"/>
        <w:spacing w:lineRule="auto" w:line="235"/>
        <w:ind w:right="160" w:hanging="0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(СА ТАЧНИМ ОДГОВОРИМА)</w:t>
      </w:r>
    </w:p>
    <w:p>
      <w:pPr>
        <w:pStyle w:val="Normal"/>
        <w:spacing w:lineRule="exact" w:line="200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440" w:right="1426" w:header="0" w:top="1440" w:footer="0" w:bottom="416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708" w:leader="none"/>
        </w:tabs>
        <w:spacing w:lineRule="auto" w:line="228"/>
        <w:ind w:left="0" w:right="4040" w:hanging="0"/>
        <w:rPr>
          <w:sz w:val="24"/>
          <w:szCs w:val="24"/>
        </w:rPr>
      </w:pPr>
      <w:bookmarkStart w:id="2" w:name="page2"/>
      <w:bookmarkStart w:id="3" w:name="page4"/>
      <w:bookmarkEnd w:id="2"/>
      <w:bookmarkEnd w:id="3"/>
      <w:r>
        <w:rPr>
          <w:sz w:val="24"/>
          <w:szCs w:val="24"/>
        </w:rPr>
        <w:t>1. Важећи Устав Републике Србије донет је:</w:t>
      </w:r>
    </w:p>
    <w:p>
      <w:pPr>
        <w:pStyle w:val="Normal"/>
        <w:tabs>
          <w:tab w:val="left" w:pos="708" w:leader="none"/>
        </w:tabs>
        <w:spacing w:lineRule="auto" w:line="228"/>
        <w:ind w:right="4040" w:hanging="0"/>
        <w:rPr/>
      </w:pPr>
      <w:r>
        <w:rPr>
          <w:sz w:val="24"/>
          <w:szCs w:val="24"/>
        </w:rPr>
        <w:t>а) 1990. године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744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2006. године </w:t>
      </w:r>
      <w:r>
        <w:rPr>
          <w:sz w:val="24"/>
          <w:szCs w:val="24"/>
        </w:rPr>
        <w:t>в) 2010. године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5"/>
        <w:ind w:right="2620" w:hanging="0"/>
        <w:rPr>
          <w:sz w:val="24"/>
          <w:szCs w:val="24"/>
        </w:rPr>
      </w:pPr>
      <w:r>
        <w:rPr>
          <w:sz w:val="24"/>
          <w:szCs w:val="24"/>
        </w:rPr>
        <w:t xml:space="preserve">2. Република Србија је у важећем Уставу дефинисана као: </w:t>
      </w:r>
    </w:p>
    <w:p>
      <w:pPr>
        <w:pStyle w:val="Normal"/>
        <w:tabs>
          <w:tab w:val="left" w:pos="708" w:leader="none"/>
        </w:tabs>
        <w:spacing w:lineRule="auto" w:line="235"/>
        <w:ind w:right="2620" w:hanging="0"/>
        <w:rPr>
          <w:sz w:val="24"/>
          <w:szCs w:val="24"/>
        </w:rPr>
      </w:pPr>
      <w:r>
        <w:rPr>
          <w:sz w:val="24"/>
          <w:szCs w:val="24"/>
        </w:rPr>
        <w:t>а) држава српског народа</w:t>
      </w:r>
    </w:p>
    <w:p>
      <w:pPr>
        <w:pStyle w:val="Normal"/>
        <w:tabs>
          <w:tab w:val="left" w:pos="708" w:leader="none"/>
        </w:tabs>
        <w:spacing w:lineRule="auto" w:line="235"/>
        <w:ind w:right="2620" w:hanging="0"/>
        <w:rPr>
          <w:sz w:val="24"/>
          <w:szCs w:val="24"/>
        </w:rPr>
      </w:pPr>
      <w:r>
        <w:rPr>
          <w:sz w:val="24"/>
          <w:szCs w:val="24"/>
        </w:rPr>
        <w:t>б) држава свих грађана који у њој живе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држава српског народа и свих грађана који у њој живе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3. После Устава, највиши општи правни акти су: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закони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потврђени међународни уговори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уредбе Владе</w:t>
      </w:r>
    </w:p>
    <w:p>
      <w:pPr>
        <w:pStyle w:val="Normal"/>
        <w:spacing w:lineRule="exact" w:line="27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4. Законе доноси: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64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Народна скупштина </w:t>
      </w:r>
      <w:r>
        <w:rPr>
          <w:sz w:val="24"/>
          <w:szCs w:val="24"/>
        </w:rPr>
        <w:t xml:space="preserve">б) Влада </w:t>
      </w:r>
    </w:p>
    <w:p>
      <w:pPr>
        <w:pStyle w:val="Normal"/>
        <w:spacing w:lineRule="auto" w:line="235"/>
        <w:ind w:right="6460" w:hanging="0"/>
        <w:rPr>
          <w:sz w:val="24"/>
          <w:szCs w:val="24"/>
        </w:rPr>
      </w:pPr>
      <w:r>
        <w:rPr>
          <w:sz w:val="24"/>
          <w:szCs w:val="24"/>
        </w:rPr>
        <w:t>в) председникРепублике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28"/>
        <w:ind w:right="3260" w:hanging="0"/>
        <w:rPr/>
      </w:pPr>
      <w:r>
        <w:rPr>
          <w:sz w:val="24"/>
          <w:szCs w:val="24"/>
        </w:rPr>
        <w:t>5. Пре ступања на снагу, закони се морају објавити:</w:t>
      </w:r>
    </w:p>
    <w:p>
      <w:pPr>
        <w:pStyle w:val="Normal"/>
        <w:tabs>
          <w:tab w:val="left" w:pos="708" w:leader="none"/>
        </w:tabs>
        <w:spacing w:lineRule="auto" w:line="228"/>
        <w:ind w:right="3260" w:hanging="0"/>
        <w:rPr>
          <w:sz w:val="24"/>
          <w:szCs w:val="24"/>
        </w:rPr>
      </w:pPr>
      <w:r>
        <w:rPr>
          <w:sz w:val="24"/>
          <w:szCs w:val="24"/>
        </w:rPr>
        <w:t>а) на сајту Народне скупштине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0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у „Службеном гласнику Републике Србије“ </w:t>
      </w:r>
      <w:r>
        <w:rPr>
          <w:sz w:val="24"/>
          <w:szCs w:val="24"/>
        </w:rPr>
        <w:t>в) у јавним средствима обавештавања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5"/>
        <w:ind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>6. Ако су одредбе два закона истог степена општости у сукобу (уређују исто питање на различит начин), при чему је један од њих донет 2015. године а други 2018. године, примениће се: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старији закон јер је раније донет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новији закон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о томе ће морати да одлучи Народна скупштина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35"/>
        <w:ind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>7. Када постоје општији закон (lex generalis) и посебан закон (lex specialis) у истој области (на пример, закон који уређује општи управни поступак и закон који уређује поступак у одређеној врсти управних ствари, нпр. царински поступак), најпре ће се применити: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општији закон јер је системског карактера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701" w:leader="none"/>
        </w:tabs>
        <w:spacing w:lineRule="auto" w:line="228"/>
        <w:ind w:right="6624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посебан закон </w:t>
      </w:r>
    </w:p>
    <w:p>
      <w:pPr>
        <w:pStyle w:val="Normal"/>
        <w:spacing w:lineRule="auto" w:line="228"/>
        <w:ind w:right="7260" w:hanging="0"/>
        <w:rPr/>
      </w:pPr>
      <w:r>
        <w:rPr>
          <w:sz w:val="24"/>
          <w:szCs w:val="24"/>
          <w:lang w:val="sr-RS"/>
        </w:rPr>
        <w:t>в</w:t>
      </w:r>
      <w:r>
        <w:rPr>
          <w:sz w:val="24"/>
          <w:szCs w:val="24"/>
        </w:rPr>
        <w:t>) ниједан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28"/>
        <w:ind w:right="740" w:hanging="0"/>
        <w:jc w:val="both"/>
        <w:rPr/>
      </w:pPr>
      <w:r>
        <w:rPr>
          <w:sz w:val="24"/>
          <w:szCs w:val="24"/>
        </w:rPr>
        <w:t>8. О несагласности закона са Уставом, као и подзаконских аката са законом, одлучује: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Народна скупштина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Врховни и сваки други суд пред којим се то питање постави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Уставни суд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bookmarkStart w:id="4" w:name="page5"/>
      <w:bookmarkEnd w:id="4"/>
      <w:r>
        <w:rPr>
          <w:sz w:val="24"/>
          <w:szCs w:val="24"/>
        </w:rPr>
        <w:t>9. Подзаконски и други општи акти у Републици Србији морају бити у сагласности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Уставом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Уставом, законом, потврђеним међународним уговором и општеприхваћеним начелима међународног права </w:t>
      </w:r>
    </w:p>
    <w:p>
      <w:pPr>
        <w:pStyle w:val="Normal"/>
        <w:ind w:right="260" w:hanging="0"/>
        <w:rPr/>
      </w:pPr>
      <w:r>
        <w:rPr>
          <w:sz w:val="24"/>
          <w:szCs w:val="24"/>
        </w:rPr>
        <w:t>в) Другим уредбама</w:t>
      </w:r>
    </w:p>
    <w:p>
      <w:pPr>
        <w:pStyle w:val="Normal"/>
        <w:ind w:right="2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10. У Републици Србији је у службеној употреби: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српски језик и ћирилично писмо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српски језик и ћирилично писмо, а латинично писмо у складу са законом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20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в) српски језик и ћирилично писмо, као и језици и писма националних мањина у складу са законом</w:t>
      </w:r>
    </w:p>
    <w:p>
      <w:pPr>
        <w:pStyle w:val="Normal"/>
        <w:spacing w:lineRule="exact" w:line="27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11. Владавина права најпре значи: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првенство права у односу на политику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повиновање свих органа власти праву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обавезу органа управе да се потчињавају законодавцу и Влади</w:t>
      </w:r>
    </w:p>
    <w:p>
      <w:pPr>
        <w:pStyle w:val="Normal"/>
        <w:spacing w:lineRule="exact" w:line="28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28"/>
        <w:ind w:right="280" w:hanging="0"/>
        <w:jc w:val="both"/>
        <w:rPr/>
      </w:pPr>
      <w:r>
        <w:rPr>
          <w:sz w:val="24"/>
          <w:szCs w:val="24"/>
        </w:rPr>
        <w:t>12. Референдум и народна иницијатива као облици непосредног учешћа грађана у вршењу власти могући су: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само на државном нивоу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3600" w:hanging="0"/>
        <w:rPr>
          <w:b/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б) на државном, покрајинском и локалном нивоу</w:t>
      </w:r>
    </w:p>
    <w:p>
      <w:pPr>
        <w:pStyle w:val="Normal"/>
        <w:spacing w:lineRule="auto" w:line="240"/>
        <w:ind w:right="3600" w:hanging="0"/>
        <w:jc w:val="both"/>
        <w:rPr>
          <w:sz w:val="24"/>
          <w:szCs w:val="24"/>
        </w:rPr>
      </w:pPr>
      <w:r>
        <w:rPr>
          <w:sz w:val="24"/>
          <w:szCs w:val="24"/>
        </w:rPr>
        <w:t>в) само на локалном (општинском и градском нивоу)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</w:tabs>
        <w:spacing w:lineRule="auto" w:line="228"/>
        <w:ind w:right="400" w:hanging="0"/>
        <w:jc w:val="both"/>
        <w:rPr>
          <w:sz w:val="24"/>
          <w:szCs w:val="24"/>
        </w:rPr>
      </w:pPr>
      <w:r>
        <w:rPr>
          <w:sz w:val="24"/>
          <w:szCs w:val="24"/>
        </w:rPr>
        <w:t>13. Листа људских и мањинска права зајемчених Уставом може бити проширена (увођењем нових права која не познаје Устав) на следећи начин: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путем потврђеног међународног уговора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путем потврђеног међународног уговора и доношењем закона</w:t>
      </w:r>
    </w:p>
    <w:p>
      <w:pPr>
        <w:pStyle w:val="Normal"/>
        <w:spacing w:lineRule="auto" w:line="235"/>
        <w:rPr/>
      </w:pPr>
      <w:r>
        <w:rPr>
          <w:sz w:val="24"/>
          <w:szCs w:val="24"/>
        </w:rPr>
        <w:t>в) само путем доношења амандмана на Устав (тј. изменама и допунама Устава)</w:t>
      </w:r>
    </w:p>
    <w:p>
      <w:pPr>
        <w:pStyle w:val="Normal"/>
        <w:spacing w:lineRule="exact" w:line="28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5"/>
        <w:ind w:right="160" w:hanging="0"/>
        <w:jc w:val="both"/>
        <w:rPr/>
      </w:pPr>
      <w:r>
        <w:rPr>
          <w:sz w:val="24"/>
          <w:szCs w:val="24"/>
        </w:rPr>
        <w:t>14. Пословна способност (способност самосталног одлучивања о својим правима и обавезама) стиче се пунолетством. Лица која су пунолетна могу у поступку пред органима управе да самостално предузимају процесне радње, изузев када им је пословна способност одузета или ограничена: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одлуком надлежног суда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одлуком надлежног центра за социјални рад</w:t>
      </w:r>
    </w:p>
    <w:p>
      <w:pPr>
        <w:pStyle w:val="Normal"/>
        <w:rPr/>
      </w:pPr>
      <w:r>
        <w:rPr>
          <w:sz w:val="24"/>
          <w:szCs w:val="24"/>
        </w:rPr>
        <w:t>в) одлуком надлежног општинског органа управе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bookmarkStart w:id="5" w:name="page6"/>
      <w:bookmarkEnd w:id="5"/>
      <w:r>
        <w:rPr>
          <w:sz w:val="24"/>
          <w:szCs w:val="24"/>
        </w:rPr>
        <w:t>15. Најнижи суд опште надлежности у Републици Србији јесте: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а) основни суд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3"/>
          <w:szCs w:val="23"/>
        </w:rPr>
        <w:t xml:space="preserve">б) </w:t>
      </w:r>
      <w:r>
        <w:rPr>
          <w:sz w:val="24"/>
          <w:szCs w:val="24"/>
        </w:rPr>
        <w:t xml:space="preserve">општински суд </w:t>
      </w:r>
    </w:p>
    <w:p>
      <w:pPr>
        <w:pStyle w:val="Normal"/>
        <w:rPr/>
      </w:pPr>
      <w:r>
        <w:rPr/>
        <w:t>в) прекршајни суд</w:t>
      </w:r>
    </w:p>
    <w:p>
      <w:pPr>
        <w:pStyle w:val="Normal"/>
        <w:spacing w:lineRule="exact" w:line="26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16. Најважнији европски документ о људским правима јесте: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Декларација о људским правима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13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Европска конвенција за заштиту људских права и основних слобода </w:t>
      </w:r>
    </w:p>
    <w:p>
      <w:pPr>
        <w:pStyle w:val="Normal"/>
        <w:spacing w:lineRule="auto" w:line="228"/>
        <w:ind w:right="1320" w:hanging="0"/>
        <w:rPr>
          <w:sz w:val="20"/>
          <w:szCs w:val="20"/>
        </w:rPr>
      </w:pPr>
      <w:r>
        <w:rPr>
          <w:sz w:val="24"/>
          <w:szCs w:val="24"/>
        </w:rPr>
        <w:t>в) Европска социјална повеља</w:t>
      </w:r>
    </w:p>
    <w:p>
      <w:pPr>
        <w:pStyle w:val="Normal"/>
        <w:spacing w:lineRule="exact" w:line="29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28"/>
        <w:ind w:right="160" w:hanging="0"/>
        <w:jc w:val="both"/>
        <w:rPr/>
      </w:pPr>
      <w:r>
        <w:rPr>
          <w:sz w:val="24"/>
          <w:szCs w:val="24"/>
        </w:rPr>
        <w:t>17. Грађанин Републике Србије може се обратити Европском суду за људска права ради заштите свог права пошто: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искористи сва правна средства за заштиту пред домаћим судовима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искористи сва правна средства за заштиту пред домаћим органима, укључујући и уставну жалбу пред Уставним судом</w:t>
      </w:r>
    </w:p>
    <w:p>
      <w:pPr>
        <w:pStyle w:val="Normal"/>
        <w:spacing w:lineRule="auto" w:line="228"/>
        <w:ind w:right="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bookmarkStart w:id="6" w:name="page7"/>
      <w:bookmarkEnd w:id="6"/>
      <w:r>
        <w:rPr>
          <w:sz w:val="24"/>
          <w:szCs w:val="24"/>
        </w:rPr>
        <w:t>18. Чланови политичких странака не могу бити: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судије, јавни тужиоци, судије Уставног суда, Заштитник грађана, припадници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полиције и војске, као и друга лица за која то одреди закон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судије и јавни тужиоци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сви носиоци јавних функција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28"/>
        <w:ind w:right="300" w:hanging="0"/>
        <w:rPr>
          <w:sz w:val="24"/>
          <w:szCs w:val="24"/>
        </w:rPr>
      </w:pPr>
      <w:r>
        <w:rPr>
          <w:sz w:val="24"/>
          <w:szCs w:val="24"/>
        </w:rPr>
        <w:t>19. Систем организације власти у Републици Србији (одређује се према односима између носилаца законодавне и извршне власти) припада типу: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полупредседничког система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6060" w:hanging="0"/>
        <w:rPr/>
      </w:pPr>
      <w:r>
        <w:rPr>
          <w:b/>
          <w:bCs/>
          <w:sz w:val="24"/>
          <w:szCs w:val="24"/>
        </w:rPr>
        <w:t xml:space="preserve">б) парламентарног система </w:t>
      </w:r>
    </w:p>
    <w:p>
      <w:pPr>
        <w:pStyle w:val="Normal"/>
        <w:spacing w:lineRule="auto" w:line="228"/>
        <w:ind w:right="6060" w:hanging="0"/>
        <w:rPr>
          <w:sz w:val="24"/>
          <w:szCs w:val="24"/>
        </w:rPr>
      </w:pPr>
      <w:r>
        <w:rPr>
          <w:sz w:val="24"/>
          <w:szCs w:val="24"/>
        </w:rPr>
        <w:t>в) председничког система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20. Републику Србију представља у земљи и иностранству: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председник Владе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председник Републике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председник Владе и председник Републике</w:t>
      </w:r>
    </w:p>
    <w:p>
      <w:pPr>
        <w:pStyle w:val="Normal"/>
        <w:spacing w:lineRule="exact" w:line="276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21. Спољну и унутрашњу политику Републике Србије утврђује и води: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Влада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Народна скупштина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4"/>
          <w:szCs w:val="24"/>
        </w:rPr>
        <w:t>в) председник Републике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22. Монетарну политику и политику курса динара води:</w:t>
      </w:r>
    </w:p>
    <w:p>
      <w:pPr>
        <w:pStyle w:val="Normal"/>
        <w:tabs>
          <w:tab w:val="left" w:pos="708" w:leader="none"/>
        </w:tabs>
        <w:spacing w:lineRule="auto" w:line="228"/>
        <w:ind w:right="2940" w:hanging="0"/>
        <w:rPr/>
      </w:pPr>
      <w:r>
        <w:rPr>
          <w:sz w:val="24"/>
          <w:szCs w:val="24"/>
        </w:rPr>
        <w:t>а) Влада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6340" w:hanging="0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б) Народна банка Србије </w:t>
      </w: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свака пословна банка</w:t>
      </w:r>
    </w:p>
    <w:p>
      <w:pPr>
        <w:pStyle w:val="Normal"/>
        <w:spacing w:lineRule="exact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28"/>
        <w:ind w:right="720" w:hanging="0"/>
        <w:rPr>
          <w:sz w:val="24"/>
          <w:szCs w:val="24"/>
        </w:rPr>
      </w:pPr>
      <w:r>
        <w:rPr>
          <w:sz w:val="24"/>
          <w:szCs w:val="24"/>
        </w:rPr>
        <w:t xml:space="preserve">23. Највиши државни орган ревизије јавних средстава у Републици Србији је: </w:t>
      </w:r>
    </w:p>
    <w:p>
      <w:pPr>
        <w:pStyle w:val="Normal"/>
        <w:tabs>
          <w:tab w:val="left" w:pos="708" w:leader="none"/>
        </w:tabs>
        <w:spacing w:lineRule="auto" w:line="228"/>
        <w:ind w:right="720" w:hanging="0"/>
        <w:rPr>
          <w:sz w:val="24"/>
          <w:szCs w:val="24"/>
        </w:rPr>
      </w:pPr>
      <w:r>
        <w:rPr>
          <w:sz w:val="24"/>
          <w:szCs w:val="24"/>
        </w:rPr>
        <w:t>а) Народна банка Србије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100" w:hanging="0"/>
        <w:rPr/>
      </w:pPr>
      <w:r>
        <w:rPr>
          <w:b/>
          <w:bCs/>
          <w:sz w:val="24"/>
          <w:szCs w:val="24"/>
        </w:rPr>
        <w:t xml:space="preserve">б) Државна ревизорска институција </w:t>
      </w:r>
    </w:p>
    <w:p>
      <w:pPr>
        <w:pStyle w:val="Normal"/>
        <w:spacing w:lineRule="auto" w:line="228"/>
        <w:ind w:right="5100" w:hanging="0"/>
        <w:rPr>
          <w:sz w:val="24"/>
          <w:szCs w:val="24"/>
        </w:rPr>
      </w:pPr>
      <w:r>
        <w:rPr>
          <w:sz w:val="24"/>
          <w:szCs w:val="24"/>
        </w:rPr>
        <w:t>в) Народна скупштина</w:t>
      </w:r>
    </w:p>
    <w:p>
      <w:pPr>
        <w:pStyle w:val="Normal"/>
        <w:spacing w:lineRule="exact" w:line="28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28"/>
        <w:ind w:right="3380" w:hanging="0"/>
        <w:rPr/>
      </w:pPr>
      <w:r>
        <w:rPr>
          <w:sz w:val="24"/>
          <w:szCs w:val="24"/>
        </w:rPr>
        <w:t>24. Поступак јавних набавки дужни су да спроводе:</w:t>
      </w:r>
    </w:p>
    <w:p>
      <w:pPr>
        <w:pStyle w:val="Normal"/>
        <w:tabs>
          <w:tab w:val="left" w:pos="708" w:leader="none"/>
        </w:tabs>
        <w:spacing w:lineRule="auto" w:line="228"/>
        <w:ind w:right="3380" w:hanging="0"/>
        <w:rPr>
          <w:sz w:val="24"/>
          <w:szCs w:val="24"/>
        </w:rPr>
      </w:pPr>
      <w:r>
        <w:rPr>
          <w:sz w:val="24"/>
          <w:szCs w:val="24"/>
        </w:rPr>
        <w:t>а) сви државни органи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240" w:hanging="0"/>
        <w:rPr/>
      </w:pPr>
      <w:r>
        <w:rPr>
          <w:b/>
          <w:bCs/>
          <w:sz w:val="24"/>
          <w:szCs w:val="24"/>
        </w:rPr>
        <w:t xml:space="preserve">б) сви корисници јавних средстава </w:t>
      </w:r>
    </w:p>
    <w:p>
      <w:pPr>
        <w:pStyle w:val="Normal"/>
        <w:spacing w:lineRule="auto" w:line="228"/>
        <w:ind w:right="5240" w:hanging="0"/>
        <w:rPr>
          <w:sz w:val="24"/>
          <w:szCs w:val="24"/>
        </w:rPr>
      </w:pPr>
      <w:r>
        <w:rPr>
          <w:sz w:val="24"/>
          <w:szCs w:val="24"/>
        </w:rPr>
        <w:t>в) сви органи власти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25. Предмет јавних набавки су: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добра, услуге и уступање радова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покретне и непокретне ствари</w:t>
      </w:r>
    </w:p>
    <w:p>
      <w:pPr>
        <w:pStyle w:val="Normal"/>
        <w:rPr/>
      </w:pPr>
      <w:bookmarkStart w:id="7" w:name="page12"/>
      <w:bookmarkEnd w:id="7"/>
      <w:r>
        <w:rPr>
          <w:sz w:val="24"/>
          <w:szCs w:val="24"/>
        </w:rPr>
        <w:t>в) куповина, лизинг и закуп добара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60" w:hanging="0"/>
        <w:jc w:val="both"/>
        <w:rPr/>
      </w:pPr>
      <w:r>
        <w:rPr>
          <w:sz w:val="24"/>
          <w:szCs w:val="24"/>
        </w:rPr>
        <w:t>26. У извршавању закона, других прописа и општих аката органи државне управе решавају у управним стварима тако што доносе појединачне правне акте којима одлучују о правима, обавезама и правним интересима странака. Општи назив за те акте је управни акти или: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одлуке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решења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сагласности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27. Органи државне управе решавају у управним стварима по правилима: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општег и посебног управног поступка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грађанског поступка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судског поступка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spacing w:lineRule="auto" w:line="235"/>
        <w:ind w:right="200" w:hanging="0"/>
        <w:jc w:val="both"/>
        <w:rPr/>
      </w:pPr>
      <w:bookmarkStart w:id="8" w:name="page13"/>
      <w:bookmarkEnd w:id="8"/>
      <w:r>
        <w:rPr>
          <w:sz w:val="24"/>
          <w:szCs w:val="24"/>
        </w:rPr>
        <w:t>28. Против првостепеног решења органа државне управе или другог органа управе странка може изјавити жалбу (осим када је жалба изричито искључена), а о жалби ће тада решавати: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надлежни суд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другостепени управни орган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орган који је донео првостепено решење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0" w:leader="none"/>
        </w:tabs>
        <w:rPr>
          <w:sz w:val="24"/>
          <w:szCs w:val="24"/>
        </w:rPr>
      </w:pPr>
      <w:r>
        <w:rPr>
          <w:sz w:val="24"/>
          <w:szCs w:val="24"/>
        </w:rPr>
        <w:t>29. Странка која није задовољна решењем донетим по њеној жалби може: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поднети уставну жалбу Уставном суду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поднети нову жалбу другостепеном органу управе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в) поднети тужбу Управном суду</w:t>
      </w:r>
    </w:p>
    <w:p>
      <w:pPr>
        <w:pStyle w:val="Normal"/>
        <w:spacing w:lineRule="exact" w:line="2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47"/>
        <w:ind w:right="240" w:hanging="0"/>
        <w:jc w:val="both"/>
        <w:rPr/>
      </w:pPr>
      <w:r>
        <w:rPr>
          <w:sz w:val="23"/>
          <w:szCs w:val="23"/>
        </w:rPr>
        <w:t xml:space="preserve">30. </w:t>
      </w:r>
      <w:r>
        <w:rPr>
          <w:sz w:val="24"/>
          <w:szCs w:val="24"/>
        </w:rPr>
        <w:t>Када орган управе не донесе никакво решење у законском року или о њему не обавести странку, а поступак је покренут захтевом странке, та ситуација се назива:</w:t>
      </w:r>
    </w:p>
    <w:p>
      <w:pPr>
        <w:pStyle w:val="Normal"/>
        <w:spacing w:lineRule="exact" w:lin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sz w:val="24"/>
          <w:szCs w:val="24"/>
        </w:rPr>
        <w:t xml:space="preserve">а) </w:t>
      </w:r>
      <w:r>
        <w:rPr>
          <w:b/>
          <w:bCs/>
          <w:sz w:val="24"/>
          <w:szCs w:val="24"/>
        </w:rPr>
        <w:t xml:space="preserve">„ћутање управе“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б) „пропуштање рока“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sr-RS"/>
        </w:rPr>
        <w:t>в</w:t>
      </w:r>
      <w:r>
        <w:rPr>
          <w:sz w:val="24"/>
          <w:szCs w:val="24"/>
        </w:rPr>
        <w:t>) „немар управе“</w:t>
      </w:r>
    </w:p>
    <w:p>
      <w:pPr>
        <w:pStyle w:val="Normal"/>
        <w:spacing w:lineRule="exact" w:line="282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28"/>
        <w:ind w:right="100" w:hanging="0"/>
        <w:jc w:val="both"/>
        <w:rPr/>
      </w:pPr>
      <w:r>
        <w:rPr>
          <w:sz w:val="24"/>
          <w:szCs w:val="24"/>
        </w:rPr>
        <w:t>31.Уговори које органи државне управе, када је то предвиђено законом, закључују са приватним лицима (странкама), називају се: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концесиони уговори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управни уговори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уговори о јавно-приватном партнерству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00" w:hanging="0"/>
        <w:jc w:val="both"/>
        <w:rPr/>
      </w:pPr>
      <w:r>
        <w:rPr>
          <w:sz w:val="24"/>
          <w:szCs w:val="24"/>
        </w:rPr>
        <w:t>32. У извршавању закона, других прописа и општих аката органи државне управе предузимају и одређене материјалне акте, односно врше управне радње (без доношења управних аката), какве су документовање, примање изјава, пружање информација и друге, а међу њима су и радње непосредне физичке принуде. Ове последње могу да предузимају само органи који су законом овлашћени, а посебно:</w:t>
      </w:r>
    </w:p>
    <w:p>
      <w:pPr>
        <w:pStyle w:val="Normal"/>
        <w:spacing w:lineRule="exact" w:lin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полиција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6920" w:hanging="0"/>
        <w:jc w:val="both"/>
        <w:rPr>
          <w:sz w:val="24"/>
          <w:szCs w:val="24"/>
        </w:rPr>
      </w:pPr>
      <w:r>
        <w:rPr>
          <w:sz w:val="24"/>
          <w:szCs w:val="24"/>
        </w:rPr>
        <w:t>б) пореска полиција в) комунална органи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47"/>
        <w:ind w:right="640" w:hanging="0"/>
        <w:rPr>
          <w:sz w:val="23"/>
          <w:szCs w:val="23"/>
        </w:rPr>
      </w:pPr>
      <w:r>
        <w:rPr>
          <w:sz w:val="23"/>
          <w:szCs w:val="23"/>
        </w:rPr>
        <w:t xml:space="preserve">33. </w:t>
      </w:r>
      <w:r>
        <w:rPr>
          <w:sz w:val="24"/>
          <w:szCs w:val="24"/>
        </w:rPr>
        <w:t>Евиденције о личним стањима грађана и друге збирке података прописане законом које води органи управе и други овлашћени субјекти називају се:</w:t>
      </w:r>
    </w:p>
    <w:p>
      <w:pPr>
        <w:pStyle w:val="Normal"/>
        <w:rPr>
          <w:sz w:val="23"/>
          <w:szCs w:val="23"/>
        </w:rPr>
      </w:pPr>
      <w:r>
        <w:rPr>
          <w:sz w:val="24"/>
          <w:szCs w:val="24"/>
        </w:rPr>
        <w:t>а) матичне књиге</w:t>
      </w:r>
    </w:p>
    <w:p>
      <w:pPr>
        <w:pStyle w:val="Normal"/>
        <w:spacing w:lineRule="exact" w:line="4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b/>
          <w:bCs/>
          <w:sz w:val="24"/>
          <w:szCs w:val="24"/>
        </w:rPr>
        <w:t>б) јавне евиденције</w:t>
      </w:r>
    </w:p>
    <w:p>
      <w:pPr>
        <w:pStyle w:val="Normal"/>
        <w:spacing w:lineRule="auto" w:line="235"/>
        <w:rPr>
          <w:sz w:val="23"/>
          <w:szCs w:val="23"/>
        </w:rPr>
      </w:pPr>
      <w:r>
        <w:rPr>
          <w:sz w:val="24"/>
          <w:szCs w:val="24"/>
        </w:rPr>
        <w:t>в) збирке личних података</w:t>
      </w:r>
    </w:p>
    <w:p>
      <w:pPr>
        <w:pStyle w:val="Normal"/>
        <w:spacing w:lineRule="exact" w:line="28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28"/>
        <w:ind w:right="440" w:hanging="0"/>
        <w:jc w:val="both"/>
        <w:rPr/>
      </w:pPr>
      <w:r>
        <w:rPr>
          <w:sz w:val="24"/>
          <w:szCs w:val="24"/>
        </w:rPr>
        <w:t>34. На основу података из јавних евиденција, органи управе и други овлашћени субјекти издају: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уверења и друге јавне исправе </w:t>
      </w:r>
    </w:p>
    <w:p>
      <w:pPr>
        <w:pStyle w:val="Normal"/>
        <w:ind w:right="5460" w:hanging="0"/>
        <w:rPr>
          <w:sz w:val="24"/>
          <w:szCs w:val="24"/>
        </w:rPr>
      </w:pPr>
      <w:r>
        <w:rPr>
          <w:sz w:val="24"/>
          <w:szCs w:val="24"/>
        </w:rPr>
        <w:t xml:space="preserve">б) уверења </w:t>
      </w:r>
    </w:p>
    <w:p>
      <w:pPr>
        <w:pStyle w:val="Normal"/>
        <w:ind w:right="5460" w:hanging="0"/>
        <w:rPr>
          <w:sz w:val="24"/>
          <w:szCs w:val="24"/>
        </w:rPr>
      </w:pPr>
      <w:r>
        <w:rPr>
          <w:sz w:val="24"/>
          <w:szCs w:val="24"/>
        </w:rPr>
        <w:t>в) решења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35. Министре именује и разрешава: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Влада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председник Владе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bookmarkStart w:id="9" w:name="page18"/>
      <w:bookmarkEnd w:id="9"/>
      <w:r>
        <w:rPr>
          <w:b/>
          <w:bCs/>
          <w:sz w:val="24"/>
          <w:szCs w:val="24"/>
        </w:rPr>
        <w:t>в) Народна скупштина</w:t>
      </w:r>
    </w:p>
    <w:p>
      <w:pPr>
        <w:pStyle w:val="Normal"/>
        <w:spacing w:lineRule="exact" w:line="5"/>
        <w:rPr>
          <w:sz w:val="20"/>
          <w:szCs w:val="20"/>
        </w:rPr>
      </w:pPr>
      <w:bookmarkStart w:id="10" w:name="page19"/>
      <w:bookmarkStart w:id="11" w:name="page19"/>
      <w:bookmarkEnd w:id="11"/>
      <w:r>
        <w:rPr>
          <w:sz w:val="20"/>
          <w:szCs w:val="20"/>
        </w:rPr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280" w:hanging="0"/>
        <w:jc w:val="both"/>
        <w:rPr/>
      </w:pPr>
      <w:r>
        <w:rPr>
          <w:sz w:val="24"/>
          <w:szCs w:val="24"/>
        </w:rPr>
        <w:t>36. За заштиту имовинских права и интереса Републике Србије и, с тим у вези, за заступање органа државне управе надлежно је: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Државно правобранилаштво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Републичко јавно тужилаштво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министарство надлежно за послове финансија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37. Систематизацијом се утврђује: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број радних места и извршилаца, описи послова радних места и посебни услови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за обављање послова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распоред послова и задатака на унутрашње организационе јединице и извршиоце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систем обављања послова и задатака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1100" w:hanging="0"/>
        <w:rPr>
          <w:sz w:val="24"/>
          <w:szCs w:val="24"/>
        </w:rPr>
      </w:pPr>
      <w:r>
        <w:rPr>
          <w:sz w:val="24"/>
          <w:szCs w:val="24"/>
        </w:rPr>
        <w:t>38. Основни облик у коме се организују покрајински органи управе у АП Војводини јесу: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покрајинска министарства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5780" w:hanging="0"/>
        <w:rPr/>
      </w:pPr>
      <w:r>
        <w:rPr>
          <w:b/>
          <w:bCs/>
          <w:sz w:val="23"/>
          <w:szCs w:val="23"/>
        </w:rPr>
        <w:t xml:space="preserve">б) </w:t>
      </w:r>
      <w:r>
        <w:rPr>
          <w:b/>
          <w:bCs/>
          <w:sz w:val="24"/>
          <w:szCs w:val="24"/>
        </w:rPr>
        <w:t>покрајински секретаријати</w:t>
      </w:r>
      <w:r>
        <w:rPr>
          <w:b/>
          <w:bCs/>
          <w:sz w:val="23"/>
          <w:szCs w:val="23"/>
        </w:rPr>
        <w:t xml:space="preserve"> </w:t>
      </w:r>
    </w:p>
    <w:p>
      <w:pPr>
        <w:pStyle w:val="Normal"/>
        <w:spacing w:lineRule="auto" w:line="240"/>
        <w:ind w:right="5780" w:hanging="0"/>
        <w:rPr/>
      </w:pP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покрајински заводи</w:t>
      </w:r>
    </w:p>
    <w:p>
      <w:pPr>
        <w:pStyle w:val="Normal"/>
        <w:spacing w:lineRule="exact" w:line="279"/>
        <w:rPr>
          <w:sz w:val="24"/>
          <w:szCs w:val="24"/>
        </w:rPr>
      </w:pPr>
      <w:bookmarkStart w:id="12" w:name="page22"/>
      <w:bookmarkStart w:id="13" w:name="page22"/>
      <w:bookmarkEnd w:id="13"/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40" w:hanging="0"/>
        <w:rPr>
          <w:sz w:val="24"/>
          <w:szCs w:val="24"/>
        </w:rPr>
      </w:pPr>
      <w:r>
        <w:rPr>
          <w:sz w:val="24"/>
          <w:szCs w:val="24"/>
        </w:rPr>
        <w:t>39. Радом општинске и градске управе (било јединствене било за поједине области) руководи: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секретар општине, односно града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начелник управе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председник општине, односно градоначелник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40. Извршну функцију у општинама и градовима врше: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председник општине и општинско веће, односно градоначелник и градско веће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председник општине и градоначелник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општинско веће на челу са председником општине, односно градско веће на челу са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градоначелником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560" w:hanging="0"/>
        <w:jc w:val="both"/>
        <w:rPr/>
      </w:pPr>
      <w:r>
        <w:rPr>
          <w:sz w:val="24"/>
          <w:szCs w:val="24"/>
        </w:rPr>
        <w:t>41. Локални омбудсман контролише рад општинске и градске управе и штити права грађана од повреда нанесених радом локалних органа и служби, а његово оснивање 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обавезно</w:t>
      </w:r>
    </w:p>
    <w:p>
      <w:pPr>
        <w:pStyle w:val="Normal"/>
        <w:spacing w:lineRule="exact" w:lin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факултативно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42. Према уставном начелу поделе власти, уређење власти почива на подели власти на :</w:t>
      </w:r>
    </w:p>
    <w:p>
      <w:pPr>
        <w:pStyle w:val="Normal"/>
        <w:rPr/>
      </w:pPr>
      <w:r>
        <w:rPr>
          <w:sz w:val="24"/>
          <w:szCs w:val="24"/>
          <w:lang w:val="sr-RS"/>
        </w:rPr>
        <w:t>а</w:t>
      </w:r>
      <w:r>
        <w:rPr>
          <w:sz w:val="24"/>
          <w:szCs w:val="24"/>
        </w:rPr>
        <w:t>) законодавну, извршну, судску и полицијску</w:t>
      </w:r>
    </w:p>
    <w:p>
      <w:pPr>
        <w:pStyle w:val="Normal"/>
        <w:rPr/>
      </w:pPr>
      <w:r>
        <w:rPr>
          <w:b/>
          <w:sz w:val="24"/>
          <w:szCs w:val="24"/>
          <w:lang w:val="sr-RS"/>
        </w:rPr>
        <w:t>б</w:t>
      </w:r>
      <w:r>
        <w:rPr>
          <w:b/>
          <w:sz w:val="24"/>
          <w:szCs w:val="24"/>
        </w:rPr>
        <w:t>) законодавну, извршну и судску</w:t>
      </w:r>
    </w:p>
    <w:p>
      <w:pPr>
        <w:pStyle w:val="Normal"/>
        <w:rPr/>
      </w:pPr>
      <w:r>
        <w:rPr>
          <w:sz w:val="24"/>
          <w:szCs w:val="24"/>
          <w:lang w:val="sr-RS"/>
        </w:rPr>
        <w:t>в</w:t>
      </w:r>
      <w:r>
        <w:rPr>
          <w:sz w:val="24"/>
          <w:szCs w:val="24"/>
        </w:rPr>
        <w:t>) законодавну и извршну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4"/>
        <w:rPr/>
      </w:pPr>
      <w:bookmarkStart w:id="14" w:name="page23"/>
      <w:bookmarkEnd w:id="14"/>
      <w:r>
        <w:rPr>
          <w:sz w:val="24"/>
          <w:szCs w:val="24"/>
        </w:rPr>
        <w:t>43. Према уставном начелу поделе власти, уређење власти почива на подели власти на законодавну, извршну и судску, па би органи државне управе: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чинили посебну, четврту власт (управна власт)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rPr/>
      </w:pPr>
      <w:r>
        <w:rPr>
          <w:b/>
          <w:bCs/>
          <w:sz w:val="24"/>
          <w:szCs w:val="24"/>
        </w:rPr>
        <w:t xml:space="preserve">б) чинили део извршне власти, чији је носилац Влада 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  <w:t>в) чинили органе који не представљају органе власти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20" w:hanging="0"/>
        <w:jc w:val="both"/>
        <w:rPr/>
      </w:pPr>
      <w:r>
        <w:rPr>
          <w:sz w:val="24"/>
          <w:szCs w:val="24"/>
        </w:rPr>
        <w:t>44. Из уставног начела владавине права, поред других обавеза (поштовање људских права и поделе власти, забрана утицања на судове и на слободно изјашњавање бирача), посебно произлази обавеза органа државне управе да се повинују Уставу и закону. Повиновање Уставу и закону, односно везаност државне управе Уставом и законом, значи:</w:t>
      </w:r>
    </w:p>
    <w:p>
      <w:pPr>
        <w:pStyle w:val="Normal"/>
        <w:spacing w:lineRule="exact" w:line="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3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вршење послова власти само у границама (тј. у оквиру) Устава и закона и на основу тј. по правилима Устава и закона</w:t>
      </w:r>
    </w:p>
    <w:p>
      <w:pPr>
        <w:pStyle w:val="Normal"/>
        <w:spacing w:lineRule="auto" w:line="235"/>
        <w:ind w:right="340" w:hanging="0"/>
        <w:rPr/>
      </w:pPr>
      <w:r>
        <w:rPr>
          <w:sz w:val="24"/>
          <w:szCs w:val="24"/>
        </w:rPr>
        <w:t>б) беспоговорно спровођење налога виших уставних органа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700" w:hanging="0"/>
        <w:rPr>
          <w:sz w:val="24"/>
          <w:szCs w:val="24"/>
        </w:rPr>
      </w:pPr>
      <w:r>
        <w:rPr>
          <w:sz w:val="24"/>
          <w:szCs w:val="24"/>
        </w:rPr>
        <w:t>в) давање првенства заштити јавног интереса утврђеног законом пред приватним интересима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15" w:name="page24"/>
      <w:bookmarkStart w:id="16" w:name="page24"/>
      <w:bookmarkEnd w:id="16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300" w:hanging="0"/>
        <w:jc w:val="both"/>
        <w:rPr/>
      </w:pPr>
      <w:r>
        <w:rPr>
          <w:sz w:val="24"/>
          <w:szCs w:val="24"/>
        </w:rPr>
        <w:t>45. Законитост коначних појединачних аката којима се одлучује о праву, обавези или на закону заснованом интересу подлеже преиспитивању пред: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Уставним судом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судом опште надлежности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в) судом у управном спору, осим када је законом предвиђена другачија судска заштита</w:t>
      </w:r>
    </w:p>
    <w:p>
      <w:pPr>
        <w:pStyle w:val="Normal"/>
        <w:spacing w:lineRule="exact" w:line="28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900" w:hanging="0"/>
        <w:jc w:val="both"/>
        <w:rPr/>
      </w:pPr>
      <w:r>
        <w:rPr>
          <w:sz w:val="24"/>
          <w:szCs w:val="24"/>
        </w:rPr>
        <w:t>46. У односу на државне службенике, начело законитости (члан 5. Закона о државним службеницима) значи: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5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дужност поступања у складу са Уставом, законом и другим прописом, као и правилима струке </w:t>
      </w:r>
    </w:p>
    <w:p>
      <w:pPr>
        <w:pStyle w:val="Normal"/>
        <w:ind w:right="520" w:hanging="0"/>
        <w:rPr>
          <w:sz w:val="24"/>
          <w:szCs w:val="24"/>
        </w:rPr>
      </w:pPr>
      <w:r>
        <w:rPr>
          <w:sz w:val="24"/>
          <w:szCs w:val="24"/>
        </w:rPr>
        <w:t>б) дужност поступања у складу са Уставом и законом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дужност понашања у складу са Уставом, законом и другим прописом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920" w:hanging="0"/>
        <w:jc w:val="both"/>
        <w:rPr/>
      </w:pPr>
      <w:r>
        <w:rPr>
          <w:sz w:val="24"/>
          <w:szCs w:val="24"/>
        </w:rPr>
        <w:t>47. О уставној обавези Републике Србије да штити права и интересе својих држављана у иностранству стара се првенствено: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министарство надлежно за спољне послове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right="3300" w:hanging="0"/>
        <w:jc w:val="both"/>
        <w:rPr/>
      </w:pPr>
      <w:r>
        <w:rPr>
          <w:sz w:val="23"/>
          <w:szCs w:val="23"/>
        </w:rPr>
        <w:t xml:space="preserve">б) сваки орган државне управе у оквиру свог делокруга </w:t>
      </w:r>
    </w:p>
    <w:p>
      <w:pPr>
        <w:pStyle w:val="Normal"/>
        <w:spacing w:lineRule="auto" w:line="247"/>
        <w:ind w:right="3300" w:hanging="0"/>
        <w:jc w:val="both"/>
        <w:rPr>
          <w:sz w:val="24"/>
          <w:szCs w:val="24"/>
        </w:rPr>
      </w:pPr>
      <w:r>
        <w:rPr>
          <w:sz w:val="23"/>
          <w:szCs w:val="23"/>
        </w:rPr>
        <w:t>в) орган државне управе надлежан за послове дијаспоре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180" w:hanging="0"/>
        <w:jc w:val="both"/>
        <w:rPr/>
      </w:pPr>
      <w:r>
        <w:rPr>
          <w:sz w:val="24"/>
          <w:szCs w:val="24"/>
        </w:rPr>
        <w:t>48. Устав јемчи равноправност полова, а за пружање заштите у случајевима полне дискриминације, на пример, у области запошљавања или на раду, надлежан 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суд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Повереник за заштиту од дискриминације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Повереник за заштиту равноправности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1080" w:hanging="0"/>
        <w:jc w:val="both"/>
        <w:rPr/>
      </w:pPr>
      <w:bookmarkStart w:id="17" w:name="page26"/>
      <w:bookmarkStart w:id="18" w:name="page27"/>
      <w:bookmarkEnd w:id="17"/>
      <w:bookmarkEnd w:id="18"/>
      <w:r>
        <w:rPr>
          <w:sz w:val="24"/>
          <w:szCs w:val="24"/>
        </w:rPr>
        <w:t>49. У односу на државне службенике, начело политичке неутралности им забрањује: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да буду чланови политичких странака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22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да на раду изражавају и заступају своја политичка уверења </w:t>
      </w:r>
      <w:r>
        <w:rPr>
          <w:sz w:val="24"/>
          <w:szCs w:val="24"/>
        </w:rPr>
        <w:t>в) да имају своја политичка уверења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60" w:hanging="0"/>
        <w:jc w:val="both"/>
        <w:rPr/>
      </w:pPr>
      <w:r>
        <w:rPr>
          <w:sz w:val="24"/>
          <w:szCs w:val="24"/>
        </w:rPr>
        <w:t>50. Ради остваривања начела политичке неутралности, Кодекс понашања државних службеника додатно им забрањује: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да присуствују јавним скуповима политичких странака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3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 </w:t>
      </w:r>
    </w:p>
    <w:p>
      <w:pPr>
        <w:pStyle w:val="Normal"/>
        <w:ind w:right="340" w:hanging="0"/>
        <w:rPr>
          <w:sz w:val="24"/>
          <w:szCs w:val="24"/>
        </w:rPr>
      </w:pPr>
      <w:r>
        <w:rPr>
          <w:sz w:val="24"/>
          <w:szCs w:val="24"/>
        </w:rPr>
        <w:t>в) да ван посла критикују политику Владе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20" w:hanging="0"/>
        <w:jc w:val="both"/>
        <w:rPr/>
      </w:pPr>
      <w:r>
        <w:rPr>
          <w:sz w:val="24"/>
          <w:szCs w:val="24"/>
        </w:rPr>
        <w:t>51. Устав јемчи свима једнаку заштиту права пред судовима и другим државним органима, имаоцима јавних овлашћења и покрајинским, општинским и градским органима. Повреда овог начела представљала би истовремено повреду једнакости људи пред Уставом и законом и, тиме, акт дискриминације, а може се учинити: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повлашћивањем појединаца и група у приступу заштити права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ускраћивањем или отежавањем приступа заштити права појединцима и групама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на оба описана начина под а) и б)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60" w:hanging="0"/>
        <w:jc w:val="both"/>
        <w:rPr/>
      </w:pPr>
      <w:r>
        <w:rPr>
          <w:sz w:val="24"/>
          <w:szCs w:val="24"/>
        </w:rPr>
        <w:t>52. Устав јемчи право сваком лицу на жалбу или друго правно средство против одлуке којом се одлучује о његовом праву, обавези и правном интересу. Наведени појам „друго правно средство“ односи се на изузетне случајеве у којима је право на жалбу искључено, а то друго правно средство јесте: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притужба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88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тужба за покретање управног спора </w:t>
      </w:r>
    </w:p>
    <w:p>
      <w:pPr>
        <w:pStyle w:val="Normal"/>
        <w:spacing w:lineRule="auto" w:line="228"/>
        <w:ind w:right="4880" w:hanging="0"/>
        <w:rPr>
          <w:sz w:val="24"/>
          <w:szCs w:val="24"/>
        </w:rPr>
      </w:pPr>
      <w:r>
        <w:rPr>
          <w:sz w:val="24"/>
          <w:szCs w:val="24"/>
        </w:rPr>
        <w:t>в) уставна жалба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20" w:hanging="0"/>
        <w:jc w:val="both"/>
        <w:rPr/>
      </w:pPr>
      <w:r>
        <w:rPr>
          <w:sz w:val="24"/>
          <w:szCs w:val="24"/>
        </w:rPr>
        <w:t>53. У циљу једнаке заштите права свих странака, у основним начелима Закона о општем управном поступку управни органи су обавезани да пружају помоћ странкама, тј. да их поуче о правима која им припадају и последицама појединих радњи и пропуштања која би могла бити на штету тих права. Та се обавеза односи на: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све странке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неупућене и неуке странке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странке које немају адвоката као пуномоћника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47"/>
        <w:ind w:right="440" w:hanging="0"/>
        <w:rPr>
          <w:sz w:val="23"/>
          <w:szCs w:val="23"/>
        </w:rPr>
      </w:pPr>
      <w:r>
        <w:rPr>
          <w:sz w:val="23"/>
          <w:szCs w:val="23"/>
        </w:rPr>
        <w:t xml:space="preserve">54. </w:t>
      </w:r>
      <w:r>
        <w:rPr>
          <w:sz w:val="24"/>
          <w:szCs w:val="24"/>
        </w:rPr>
        <w:t>Орган државне управе може да користи податке о личности само у законите сврхе за које су прикупљени, а поред тога се ти подаци могу користити за потребе:</w:t>
      </w:r>
    </w:p>
    <w:p>
      <w:pPr>
        <w:pStyle w:val="Normal"/>
        <w:spacing w:lineRule="exact" w:line="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35"/>
        <w:ind w:right="880" w:hanging="0"/>
        <w:rPr/>
      </w:pPr>
      <w:r>
        <w:rPr>
          <w:b/>
          <w:bCs/>
          <w:sz w:val="24"/>
          <w:szCs w:val="24"/>
        </w:rPr>
        <w:t xml:space="preserve">а) вођења кривичног поступка или заштите безбедности Републике Србије </w:t>
      </w:r>
      <w:r>
        <w:rPr>
          <w:sz w:val="24"/>
          <w:szCs w:val="24"/>
        </w:rPr>
        <w:t xml:space="preserve">б) обављања других послова у органима државне управе </w:t>
      </w:r>
    </w:p>
    <w:p>
      <w:pPr>
        <w:pStyle w:val="Normal"/>
        <w:spacing w:lineRule="auto" w:line="235"/>
        <w:ind w:right="880" w:hanging="0"/>
        <w:rPr>
          <w:sz w:val="23"/>
          <w:szCs w:val="23"/>
        </w:rPr>
      </w:pPr>
      <w:r>
        <w:rPr>
          <w:sz w:val="24"/>
          <w:szCs w:val="24"/>
        </w:rPr>
        <w:t>в) информисања медија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20" w:hanging="0"/>
        <w:jc w:val="both"/>
        <w:rPr>
          <w:sz w:val="24"/>
          <w:szCs w:val="24"/>
        </w:rPr>
      </w:pPr>
      <w:r>
        <w:rPr>
          <w:sz w:val="24"/>
          <w:szCs w:val="24"/>
        </w:rPr>
        <w:t>55. Право приступа подацима који су у поседу државних органа и организација којима су поверена јавна овлашћења остварује се у складу са законом, а то право је:</w:t>
      </w:r>
    </w:p>
    <w:p>
      <w:pPr>
        <w:pStyle w:val="Normal"/>
        <w:tabs>
          <w:tab w:val="left" w:pos="768" w:leader="none"/>
        </w:tabs>
        <w:spacing w:lineRule="auto" w:line="235"/>
        <w:ind w:right="420" w:hanging="0"/>
        <w:jc w:val="both"/>
        <w:rPr>
          <w:sz w:val="24"/>
          <w:szCs w:val="24"/>
        </w:rPr>
      </w:pPr>
      <w:r>
        <w:rPr>
          <w:sz w:val="24"/>
          <w:szCs w:val="24"/>
        </w:rPr>
        <w:t>а) израз захтева за транспарентношћу рада државне управе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4100" w:hanging="0"/>
        <w:rPr/>
      </w:pPr>
      <w:r>
        <w:rPr>
          <w:b/>
          <w:bCs/>
          <w:sz w:val="23"/>
          <w:szCs w:val="23"/>
        </w:rPr>
        <w:t xml:space="preserve">б) једно од људских права зајемчено Уставом </w:t>
      </w:r>
    </w:p>
    <w:p>
      <w:pPr>
        <w:pStyle w:val="Normal"/>
        <w:spacing w:lineRule="auto" w:line="240"/>
        <w:ind w:right="4100" w:hanging="0"/>
        <w:rPr>
          <w:sz w:val="24"/>
          <w:szCs w:val="24"/>
        </w:rPr>
      </w:pP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резултат признавања слободе медија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19" w:name="page30"/>
      <w:bookmarkStart w:id="20" w:name="page30"/>
      <w:bookmarkEnd w:id="20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540" w:hanging="0"/>
        <w:jc w:val="both"/>
        <w:rPr/>
      </w:pPr>
      <w:r>
        <w:rPr>
          <w:sz w:val="24"/>
          <w:szCs w:val="24"/>
        </w:rPr>
        <w:t>56. Државни службеник јесте/није лично одговоран за законитост, стручност и делотворност свог рада: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8260" w:hanging="0"/>
        <w:rPr/>
      </w:pPr>
      <w:r>
        <w:rPr>
          <w:b/>
          <w:bCs/>
          <w:sz w:val="24"/>
          <w:szCs w:val="24"/>
        </w:rPr>
        <w:t xml:space="preserve">а)јесте </w:t>
      </w:r>
      <w:r>
        <w:rPr>
          <w:sz w:val="24"/>
          <w:szCs w:val="24"/>
        </w:rPr>
        <w:t>б) није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одговоран је његов старешина, а не он лично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20" w:hanging="0"/>
        <w:jc w:val="both"/>
        <w:rPr/>
      </w:pPr>
      <w:r>
        <w:rPr>
          <w:sz w:val="24"/>
          <w:szCs w:val="24"/>
        </w:rPr>
        <w:t>57. Уставна начела о једнакости свих пред законом и забрани дискриминације у односу на положај државних службеника (према члану 7. Закона о државним службеницима) изражена су забраном: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бржег напредовања и бољих плата за мање способне државне службенике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0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повлашћивања или ускраћивања службеника у њиховим правима или дужностима</w:t>
      </w:r>
    </w:p>
    <w:p>
      <w:pPr>
        <w:pStyle w:val="Normal"/>
        <w:ind w:right="1040" w:hanging="0"/>
        <w:rPr>
          <w:sz w:val="24"/>
          <w:szCs w:val="24"/>
        </w:rPr>
      </w:pPr>
      <w:r>
        <w:rPr>
          <w:sz w:val="24"/>
          <w:szCs w:val="24"/>
        </w:rPr>
        <w:t>в) кажњавања државних службеника због грешака и раду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80" w:hanging="0"/>
        <w:jc w:val="both"/>
        <w:rPr/>
      </w:pPr>
      <w:r>
        <w:rPr>
          <w:sz w:val="24"/>
          <w:szCs w:val="24"/>
        </w:rPr>
        <w:t>58. Начело о једнакој доступности радних места утврђује да су при запошљавању у државни орган кандидатима под једнаким условима доступна сва радна места, а да избор кандидата зависи од: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540" w:hanging="0"/>
        <w:rPr>
          <w:sz w:val="24"/>
          <w:szCs w:val="24"/>
        </w:rPr>
      </w:pPr>
      <w:r>
        <w:rPr>
          <w:sz w:val="24"/>
          <w:szCs w:val="24"/>
        </w:rPr>
        <w:t>а) утиска који оставе на интервјуу</w:t>
      </w:r>
    </w:p>
    <w:p>
      <w:pPr>
        <w:pStyle w:val="Normal"/>
        <w:spacing w:lineRule="auto" w:line="228"/>
        <w:ind w:right="5540" w:hanging="0"/>
        <w:rPr>
          <w:sz w:val="24"/>
          <w:szCs w:val="24"/>
        </w:rPr>
      </w:pPr>
      <w:r>
        <w:rPr>
          <w:sz w:val="24"/>
          <w:szCs w:val="24"/>
        </w:rPr>
        <w:t>б) радне биографије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стручне оспособљености, знања и вештина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640" w:hanging="0"/>
        <w:rPr>
          <w:sz w:val="24"/>
          <w:szCs w:val="24"/>
        </w:rPr>
      </w:pPr>
      <w:r>
        <w:rPr>
          <w:sz w:val="24"/>
          <w:szCs w:val="24"/>
        </w:rPr>
        <w:t>59. Сагласно европским стандардима, запошљавање и напредовање државних службеника треба да се одвија по систему: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заслуга (мерит систем)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б) партијске припадности (систем плена)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комбиновањем та два система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40" w:hanging="0"/>
        <w:jc w:val="both"/>
        <w:rPr/>
      </w:pPr>
      <w:r>
        <w:rPr>
          <w:sz w:val="24"/>
          <w:szCs w:val="24"/>
        </w:rPr>
        <w:t>60. 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(члан 11. Закона о државним службеницима). Ова једнакост значи: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да ће сви службеници напредовати једнаким темпом и имати исте плате</w:t>
      </w:r>
    </w:p>
    <w:p>
      <w:pPr>
        <w:pStyle w:val="Normal"/>
        <w:spacing w:lineRule="exact" w:lin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00" w:hanging="0"/>
        <w:rPr>
          <w:sz w:val="24"/>
          <w:szCs w:val="24"/>
        </w:rPr>
      </w:pPr>
      <w:r>
        <w:rPr>
          <w:sz w:val="24"/>
          <w:szCs w:val="24"/>
        </w:rPr>
        <w:t>б) да ће сви службеници напредовати једнаким темпом, имати исте плате и једнаку правну заштиту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в) да се напредовање, награђивање и правна заштита службеника одвијају под условима једнаким за све</w:t>
      </w:r>
    </w:p>
    <w:p>
      <w:pPr>
        <w:pStyle w:val="Normal"/>
        <w:spacing w:lineRule="exact" w:line="27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61. Начело о напредовању државних службеника утврђује да напредовање зависи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од: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7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стручности, резултата рада и потреба државног органа </w:t>
      </w:r>
      <w:r>
        <w:rPr>
          <w:sz w:val="24"/>
          <w:szCs w:val="24"/>
        </w:rPr>
        <w:t>б) стручности и резултата рада</w:t>
      </w:r>
    </w:p>
    <w:p>
      <w:pPr>
        <w:pStyle w:val="Normal"/>
        <w:ind w:right="2780" w:hanging="0"/>
        <w:rPr>
          <w:sz w:val="24"/>
          <w:szCs w:val="24"/>
        </w:rPr>
      </w:pPr>
      <w:r>
        <w:rPr>
          <w:sz w:val="24"/>
          <w:szCs w:val="24"/>
        </w:rPr>
        <w:t>в) потреба државног органа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21" w:name="page31"/>
      <w:bookmarkStart w:id="22" w:name="page31"/>
      <w:bookmarkEnd w:id="22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1340" w:hanging="0"/>
        <w:rPr>
          <w:sz w:val="24"/>
          <w:szCs w:val="24"/>
        </w:rPr>
      </w:pPr>
      <w:bookmarkStart w:id="23" w:name="page32"/>
      <w:bookmarkEnd w:id="23"/>
      <w:r>
        <w:rPr>
          <w:sz w:val="24"/>
          <w:szCs w:val="24"/>
        </w:rPr>
        <w:t xml:space="preserve">62. Државни службеници су сви који раде у државним органима, осим: </w:t>
      </w:r>
    </w:p>
    <w:p>
      <w:pPr>
        <w:pStyle w:val="Normal"/>
        <w:tabs>
          <w:tab w:val="left" w:pos="768" w:leader="none"/>
        </w:tabs>
        <w:spacing w:lineRule="auto" w:line="228"/>
        <w:ind w:right="1340" w:hanging="0"/>
        <w:rPr>
          <w:sz w:val="24"/>
          <w:szCs w:val="24"/>
        </w:rPr>
      </w:pPr>
      <w:r>
        <w:rPr>
          <w:sz w:val="24"/>
          <w:szCs w:val="24"/>
        </w:rPr>
        <w:t>а) намештеника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функционера и намештеника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службеника који су запослени на одређено време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63. Намештеник је лице чије се радно место у државном органу састоји од: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пратећих помоћно-техничких послова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860" w:hanging="0"/>
        <w:rPr/>
      </w:pPr>
      <w:r>
        <w:rPr>
          <w:sz w:val="24"/>
          <w:szCs w:val="24"/>
        </w:rPr>
        <w:t xml:space="preserve">б) рачуноводствених и административних послова </w:t>
      </w:r>
    </w:p>
    <w:p>
      <w:pPr>
        <w:pStyle w:val="Normal"/>
        <w:spacing w:lineRule="auto" w:line="228"/>
        <w:ind w:right="3860" w:hanging="0"/>
        <w:rPr>
          <w:sz w:val="24"/>
          <w:szCs w:val="24"/>
        </w:rPr>
      </w:pPr>
      <w:r>
        <w:rPr>
          <w:sz w:val="24"/>
          <w:szCs w:val="24"/>
        </w:rPr>
        <w:t>в) секретарских послова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200" w:hanging="0"/>
        <w:jc w:val="both"/>
        <w:rPr/>
      </w:pPr>
      <w:r>
        <w:rPr>
          <w:sz w:val="24"/>
          <w:szCs w:val="24"/>
        </w:rPr>
        <w:t>64. 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Влада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руководилац државног органа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јединица за управљање људским ресурсима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65. У службеничком систему разликују се две категорије државних службеника, 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то: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државни службеници на положају и државни службеници на извршилачким радним местим</w:t>
      </w:r>
    </w:p>
    <w:p>
      <w:pPr>
        <w:pStyle w:val="Normal"/>
        <w:ind w:right="440" w:hanging="0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б) државни службеници и намештеници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државни службеници са завршеним факултетом и остали</w:t>
      </w:r>
    </w:p>
    <w:p>
      <w:pPr>
        <w:pStyle w:val="Normal"/>
        <w:spacing w:lineRule="exact" w:line="276"/>
        <w:rPr>
          <w:sz w:val="20"/>
          <w:szCs w:val="20"/>
        </w:rPr>
      </w:pPr>
      <w:bookmarkStart w:id="24" w:name="page33"/>
      <w:bookmarkStart w:id="25" w:name="page33"/>
      <w:bookmarkEnd w:id="25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560" w:hanging="0"/>
        <w:jc w:val="both"/>
        <w:rPr/>
      </w:pPr>
      <w:r>
        <w:rPr>
          <w:sz w:val="24"/>
          <w:szCs w:val="24"/>
        </w:rPr>
        <w:t>66. Поред држављанства Републике Србије, пунолетства и прописане школске спреме, сви државни службеници морају да испуњавају и следећи општи услов</w:t>
      </w:r>
    </w:p>
    <w:p>
      <w:pPr>
        <w:pStyle w:val="Normal"/>
        <w:tabs>
          <w:tab w:val="left" w:pos="768" w:leader="none"/>
        </w:tabs>
        <w:spacing w:lineRule="auto" w:line="235"/>
        <w:ind w:right="560" w:hanging="0"/>
        <w:rPr>
          <w:sz w:val="24"/>
          <w:szCs w:val="24"/>
        </w:rPr>
      </w:pPr>
      <w:r>
        <w:rPr>
          <w:sz w:val="24"/>
          <w:szCs w:val="24"/>
        </w:rPr>
        <w:t>а) да нису осуђивани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20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да имају положен државни стручни испит </w:t>
      </w:r>
      <w:r>
        <w:rPr>
          <w:sz w:val="24"/>
          <w:szCs w:val="24"/>
        </w:rPr>
        <w:t>в) да имају најмање 3 године радног искуства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720" w:hanging="0"/>
        <w:jc w:val="both"/>
        <w:rPr/>
      </w:pPr>
      <w:r>
        <w:rPr>
          <w:sz w:val="24"/>
          <w:szCs w:val="24"/>
        </w:rPr>
        <w:t>67. Закон о државним службеницима утврђује одређени број права државних службеника (чланови 12 до 17, као и поједине друге одредбе), а поред тих права, државни службеници имају и друга права која се утврђују: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7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општим прописима о раду и посебним колективним уговором за државне органе</w:t>
      </w:r>
    </w:p>
    <w:p>
      <w:pPr>
        <w:pStyle w:val="Normal"/>
        <w:ind w:right="760" w:hanging="0"/>
        <w:rPr>
          <w:sz w:val="24"/>
          <w:szCs w:val="24"/>
        </w:rPr>
      </w:pPr>
      <w:r>
        <w:rPr>
          <w:sz w:val="24"/>
          <w:szCs w:val="24"/>
        </w:rPr>
        <w:t>б) Правилником о организацији и систематизацији</w:t>
      </w:r>
    </w:p>
    <w:p>
      <w:pPr>
        <w:pStyle w:val="Normal"/>
        <w:rPr/>
      </w:pPr>
      <w:r>
        <w:rPr>
          <w:sz w:val="24"/>
          <w:szCs w:val="24"/>
        </w:rPr>
        <w:t>в) уредбом Владе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68. Право на одморе и одсуства обухвата право на: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дневни и годишњи одмор, плаћено и неплаћено одсуство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15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дневни, недељни и годишњи одмор, плаћено и неплаћено одсуство </w:t>
      </w:r>
    </w:p>
    <w:p>
      <w:pPr>
        <w:pStyle w:val="Normal"/>
        <w:spacing w:lineRule="auto" w:line="228"/>
        <w:ind w:right="1560" w:hanging="0"/>
        <w:rPr>
          <w:sz w:val="20"/>
          <w:szCs w:val="20"/>
        </w:rPr>
      </w:pPr>
      <w:r>
        <w:rPr>
          <w:sz w:val="24"/>
          <w:szCs w:val="24"/>
        </w:rPr>
        <w:t>в) годишњи одмор и плаћено одсуство</w:t>
      </w:r>
    </w:p>
    <w:p>
      <w:pPr>
        <w:pStyle w:val="Normal"/>
        <w:spacing w:lineRule="exact" w:line="29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2020" w:hanging="0"/>
        <w:rPr>
          <w:sz w:val="24"/>
          <w:szCs w:val="24"/>
        </w:rPr>
      </w:pPr>
      <w:r>
        <w:rPr>
          <w:sz w:val="24"/>
          <w:szCs w:val="24"/>
        </w:rPr>
        <w:t xml:space="preserve">69. Дневни одмор у трајању од 30 минута не може се користити: </w:t>
      </w:r>
    </w:p>
    <w:p>
      <w:pPr>
        <w:pStyle w:val="Normal"/>
        <w:tabs>
          <w:tab w:val="left" w:pos="768" w:leader="none"/>
        </w:tabs>
        <w:spacing w:lineRule="auto" w:line="235"/>
        <w:ind w:right="2020" w:hanging="0"/>
        <w:rPr>
          <w:sz w:val="24"/>
          <w:szCs w:val="24"/>
        </w:rPr>
      </w:pPr>
      <w:r>
        <w:rPr>
          <w:sz w:val="24"/>
          <w:szCs w:val="24"/>
        </w:rPr>
        <w:t>а) ван времена одређеног за паузу</w:t>
      </w:r>
    </w:p>
    <w:p>
      <w:pPr>
        <w:pStyle w:val="Normal"/>
        <w:tabs>
          <w:tab w:val="left" w:pos="768" w:leader="none"/>
        </w:tabs>
        <w:spacing w:lineRule="auto" w:line="235"/>
        <w:ind w:right="2020" w:hanging="0"/>
        <w:rPr>
          <w:sz w:val="24"/>
          <w:szCs w:val="24"/>
        </w:rPr>
      </w:pPr>
      <w:r>
        <w:rPr>
          <w:sz w:val="24"/>
          <w:szCs w:val="24"/>
        </w:rPr>
        <w:t>б) без дозволе непосредног руководиоца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на почетку и на крају радног времена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70. Недељни одмор траје: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48 часова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б) 48 часова непрекидно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в) најмање 48 часова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26" w:name="page36"/>
      <w:bookmarkStart w:id="27" w:name="page36"/>
      <w:bookmarkEnd w:id="27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580" w:hanging="0"/>
        <w:rPr>
          <w:sz w:val="24"/>
          <w:szCs w:val="24"/>
        </w:rPr>
      </w:pPr>
      <w:r>
        <w:rPr>
          <w:sz w:val="24"/>
          <w:szCs w:val="24"/>
        </w:rPr>
        <w:t xml:space="preserve">71. Државни службеници имају право на чланство у синдикату, које укључује: </w:t>
      </w:r>
    </w:p>
    <w:p>
      <w:pPr>
        <w:pStyle w:val="Normal"/>
        <w:tabs>
          <w:tab w:val="left" w:pos="768" w:leader="none"/>
        </w:tabs>
        <w:spacing w:lineRule="auto" w:line="228"/>
        <w:ind w:right="580" w:hanging="0"/>
        <w:rPr>
          <w:sz w:val="24"/>
          <w:szCs w:val="24"/>
        </w:rPr>
      </w:pPr>
      <w:r>
        <w:rPr>
          <w:sz w:val="24"/>
          <w:szCs w:val="24"/>
        </w:rPr>
        <w:t>а) право да се буде члан синдиката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7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право на синдикално удруживање и деловање </w:t>
      </w:r>
      <w:r>
        <w:rPr>
          <w:sz w:val="24"/>
          <w:szCs w:val="24"/>
        </w:rPr>
        <w:t>в) право да се буде или не буде члан синдиката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72. Државни службеници: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немају право на штрајк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имају право на штрајк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в) имају право на штрајк, уз обавезу обезбеђења минимума процеса рада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240" w:hanging="0"/>
        <w:rPr>
          <w:sz w:val="24"/>
          <w:szCs w:val="24"/>
        </w:rPr>
      </w:pPr>
      <w:r>
        <w:rPr>
          <w:sz w:val="24"/>
          <w:szCs w:val="24"/>
        </w:rPr>
        <w:t>73. Државни службеник има право жалбе на решење којим се одлучује о његовим правима и дужностима, и то: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на свако такво решење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7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на свако такво решење, осим када је жалба законом изричито искључена </w:t>
      </w:r>
      <w:r>
        <w:rPr>
          <w:sz w:val="24"/>
          <w:szCs w:val="24"/>
        </w:rPr>
        <w:t>в) само на решења којима се одлучује негативно по службеника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700" w:hanging="0"/>
        <w:rPr>
          <w:sz w:val="24"/>
          <w:szCs w:val="24"/>
        </w:rPr>
      </w:pPr>
      <w:r>
        <w:rPr>
          <w:sz w:val="24"/>
          <w:szCs w:val="24"/>
        </w:rPr>
        <w:t>74. О жалби на решење којим се одлучује о правима и дужностима државних службеника из јавног тужилаштва одлучује: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руководилац органа државне управе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214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Жалбена комисија јавног тужилаштва</w:t>
      </w:r>
    </w:p>
    <w:p>
      <w:pPr>
        <w:pStyle w:val="Normal"/>
        <w:tabs>
          <w:tab w:val="left" w:pos="2977" w:leader="none"/>
        </w:tabs>
        <w:spacing w:lineRule="auto" w:line="228"/>
        <w:ind w:right="6040" w:hanging="0"/>
        <w:rPr/>
      </w:pPr>
      <w:r>
        <w:rPr>
          <w:sz w:val="24"/>
          <w:szCs w:val="24"/>
        </w:rPr>
        <w:t>в) суд</w:t>
      </w:r>
    </w:p>
    <w:p>
      <w:pPr>
        <w:pStyle w:val="Normal"/>
        <w:spacing w:lineRule="exact" w:line="35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28" w:name="page38"/>
      <w:bookmarkStart w:id="29" w:name="page38"/>
      <w:bookmarkEnd w:id="29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40" w:hanging="0"/>
        <w:rPr>
          <w:sz w:val="24"/>
          <w:szCs w:val="24"/>
        </w:rPr>
      </w:pPr>
      <w:r>
        <w:rPr>
          <w:sz w:val="24"/>
          <w:szCs w:val="24"/>
        </w:rPr>
        <w:t>75. Уз послове свог радног места, државни службеник дужан је да, по писменом налогу претпостављеног, ради и послове који нису у опису његовог радног места ако за њих испуњава услове (због повећаног обима посла или замене одсутног службеника), а најдуже: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а) 6 месеци </w:t>
      </w:r>
    </w:p>
    <w:p>
      <w:pPr>
        <w:pStyle w:val="Normal"/>
        <w:rPr/>
      </w:pPr>
      <w:r>
        <w:rPr/>
        <w:t>б) 3 месеца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месец дана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80" w:hanging="0"/>
        <w:jc w:val="both"/>
        <w:rPr/>
      </w:pPr>
      <w:r>
        <w:rPr>
          <w:sz w:val="24"/>
          <w:szCs w:val="24"/>
        </w:rPr>
        <w:t>76. По писменом налогу претпостављеног, државни службеник је дужан да ради на радном месту нижем од свог у случају: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повећаног обима посла и налога Владе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9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елементарне непогоде, више силе или других непредвидивих околности</w:t>
      </w:r>
    </w:p>
    <w:p>
      <w:pPr>
        <w:pStyle w:val="Normal"/>
        <w:spacing w:lineRule="auto" w:line="228"/>
        <w:ind w:right="960" w:hanging="0"/>
        <w:rPr>
          <w:sz w:val="24"/>
          <w:szCs w:val="24"/>
        </w:rPr>
      </w:pPr>
      <w:r>
        <w:rPr>
          <w:sz w:val="24"/>
          <w:szCs w:val="24"/>
        </w:rPr>
        <w:t>в) проглашења ванредне ситуације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780" w:hanging="0"/>
        <w:rPr>
          <w:sz w:val="24"/>
          <w:szCs w:val="24"/>
        </w:rPr>
      </w:pPr>
      <w:r>
        <w:rPr>
          <w:sz w:val="24"/>
          <w:szCs w:val="24"/>
        </w:rPr>
        <w:t>77. Дужност чувања службене или друге тајне одређене законом или другим прописом обавезује државног службеника: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док му траје радни однос у државном органу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3420" w:hanging="0"/>
        <w:rPr/>
      </w:pPr>
      <w:r>
        <w:rPr>
          <w:b/>
          <w:bCs/>
          <w:sz w:val="23"/>
          <w:szCs w:val="23"/>
        </w:rPr>
        <w:t xml:space="preserve">б) </w:t>
      </w:r>
      <w:r>
        <w:rPr>
          <w:b/>
          <w:bCs/>
          <w:sz w:val="24"/>
          <w:szCs w:val="24"/>
        </w:rPr>
        <w:t>и по престанку радног односа у државном органу</w:t>
      </w:r>
      <w:r>
        <w:rPr>
          <w:b/>
          <w:bCs/>
          <w:sz w:val="23"/>
          <w:szCs w:val="23"/>
        </w:rPr>
        <w:t xml:space="preserve"> </w:t>
      </w:r>
    </w:p>
    <w:p>
      <w:pPr>
        <w:pStyle w:val="Normal"/>
        <w:spacing w:lineRule="auto" w:line="240"/>
        <w:ind w:right="3420" w:hanging="0"/>
        <w:rPr>
          <w:sz w:val="24"/>
          <w:szCs w:val="24"/>
        </w:rPr>
      </w:pPr>
      <w:r>
        <w:rPr>
          <w:sz w:val="23"/>
          <w:szCs w:val="23"/>
        </w:rPr>
        <w:t xml:space="preserve">в) </w:t>
      </w:r>
      <w:r>
        <w:rPr>
          <w:sz w:val="24"/>
          <w:szCs w:val="24"/>
        </w:rPr>
        <w:t>годину дана по престаку рада у државном органу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460" w:hanging="0"/>
        <w:rPr>
          <w:sz w:val="24"/>
          <w:szCs w:val="24"/>
        </w:rPr>
      </w:pPr>
      <w:r>
        <w:rPr>
          <w:sz w:val="24"/>
          <w:szCs w:val="24"/>
        </w:rPr>
        <w:t>78. Непоштовање радног времена и прописаних правила понашања у државном органу представља: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20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повреду радних дужности за коју се може изрећи дисциплинска казна</w:t>
      </w:r>
    </w:p>
    <w:p>
      <w:pPr>
        <w:pStyle w:val="Normal"/>
        <w:ind w:right="1200" w:hanging="0"/>
        <w:rPr>
          <w:sz w:val="24"/>
          <w:szCs w:val="24"/>
        </w:rPr>
      </w:pPr>
      <w:r>
        <w:rPr>
          <w:sz w:val="24"/>
          <w:szCs w:val="24"/>
        </w:rPr>
        <w:t xml:space="preserve">б) повреду угледа органа </w:t>
      </w:r>
    </w:p>
    <w:p>
      <w:pPr>
        <w:pStyle w:val="Normal"/>
        <w:ind w:right="1200" w:hanging="0"/>
        <w:rPr>
          <w:sz w:val="24"/>
          <w:szCs w:val="24"/>
        </w:rPr>
      </w:pPr>
      <w:r>
        <w:rPr>
          <w:sz w:val="24"/>
          <w:szCs w:val="24"/>
        </w:rPr>
        <w:t>в) некажњиву повреду радне дисциплине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700" w:hanging="0"/>
        <w:rPr>
          <w:sz w:val="24"/>
          <w:szCs w:val="24"/>
        </w:rPr>
      </w:pPr>
      <w:r>
        <w:rPr>
          <w:sz w:val="24"/>
          <w:szCs w:val="24"/>
        </w:rPr>
        <w:t>79. Државни службеник је дужан да о разлозима спречености за рад обавести непосредно претпостављеног у року од: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24 часа од отварања боловања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740" w:hanging="0"/>
        <w:rPr/>
      </w:pPr>
      <w:r>
        <w:rPr>
          <w:b/>
          <w:bCs/>
          <w:sz w:val="24"/>
          <w:szCs w:val="24"/>
        </w:rPr>
        <w:t xml:space="preserve">б) 24 часа од настанка разлога </w:t>
      </w:r>
    </w:p>
    <w:p>
      <w:pPr>
        <w:pStyle w:val="Normal"/>
        <w:spacing w:lineRule="auto" w:line="228"/>
        <w:ind w:right="5740" w:hanging="0"/>
        <w:rPr>
          <w:sz w:val="24"/>
          <w:szCs w:val="24"/>
        </w:rPr>
      </w:pPr>
      <w:r>
        <w:rPr>
          <w:sz w:val="24"/>
          <w:szCs w:val="24"/>
        </w:rPr>
        <w:t>в) наредног радног дана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60" w:hanging="0"/>
        <w:jc w:val="both"/>
        <w:rPr/>
      </w:pPr>
      <w:r>
        <w:rPr>
          <w:sz w:val="24"/>
          <w:szCs w:val="24"/>
        </w:rPr>
        <w:t>80. У односима са претпостављеним и другим службеницима, државни службеник је, према Кодексу понашања државних службеника, дужан да обезбеди потребну сарадњу, да не омета процес рада, поспешује професионалне односе и радну атмосферу, као и да увек поступа: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51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с дужном пажњом и поштовањем </w:t>
      </w:r>
      <w:r>
        <w:rPr>
          <w:sz w:val="24"/>
          <w:szCs w:val="24"/>
        </w:rPr>
        <w:t xml:space="preserve">б) љубазно и коректно </w:t>
      </w:r>
    </w:p>
    <w:p>
      <w:pPr>
        <w:pStyle w:val="Normal"/>
        <w:spacing w:lineRule="auto" w:line="235"/>
        <w:ind w:right="5140" w:hanging="0"/>
        <w:rPr>
          <w:sz w:val="24"/>
          <w:szCs w:val="24"/>
        </w:rPr>
      </w:pPr>
      <w:r>
        <w:rPr>
          <w:sz w:val="24"/>
          <w:szCs w:val="24"/>
        </w:rPr>
        <w:t>в) срдачно и пријатељски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68" w:leader="none"/>
        </w:tabs>
        <w:spacing w:lineRule="auto" w:line="228"/>
        <w:ind w:right="880" w:hanging="0"/>
        <w:rPr>
          <w:sz w:val="24"/>
          <w:szCs w:val="24"/>
        </w:rPr>
      </w:pPr>
      <w:r>
        <w:rPr>
          <w:sz w:val="24"/>
          <w:szCs w:val="24"/>
        </w:rPr>
        <w:t>81. Државни службеник сме да саопштава информације до којих је дошао у обављању послова: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1560" w:hanging="0"/>
        <w:rPr>
          <w:sz w:val="24"/>
          <w:szCs w:val="24"/>
        </w:rPr>
      </w:pPr>
      <w:r>
        <w:rPr>
          <w:sz w:val="24"/>
          <w:szCs w:val="24"/>
        </w:rPr>
        <w:t>а) само ако се ради о информацијама у вези са пословима које он обавља б) само ако се ради о информацијама које не штете угледу органа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само ако је овлашћен да саопшти информације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280" w:hanging="0"/>
        <w:jc w:val="both"/>
        <w:rPr/>
      </w:pPr>
      <w:r>
        <w:rPr>
          <w:sz w:val="24"/>
          <w:szCs w:val="24"/>
        </w:rPr>
        <w:t>82. Државни службеник је дужан да својим понашањем чува углед органа, а та се обавеза односи на: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понашање приликом обављања послова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понашање приликом обављања послова и ван посла на јавном месту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240" w:hanging="0"/>
        <w:rPr>
          <w:sz w:val="24"/>
          <w:szCs w:val="24"/>
        </w:rPr>
      </w:pPr>
      <w:r>
        <w:rPr>
          <w:sz w:val="24"/>
          <w:szCs w:val="24"/>
        </w:rPr>
        <w:t>в) понашање приликом обављања послова и ван посла на јавном месту и у приватном животу</w:t>
      </w:r>
    </w:p>
    <w:p>
      <w:pPr>
        <w:pStyle w:val="Normal"/>
        <w:spacing w:lineRule="exact" w:line="283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28"/>
        <w:ind w:right="100" w:hanging="0"/>
        <w:jc w:val="both"/>
        <w:rPr/>
      </w:pPr>
      <w:r>
        <w:rPr>
          <w:sz w:val="24"/>
          <w:szCs w:val="24"/>
        </w:rPr>
        <w:t>83. Државном службенику коме на ванредном оцењивању буде одређена оцена „не задовољава“: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престаје радни однос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220" w:hanging="0"/>
        <w:rPr/>
      </w:pPr>
      <w:r>
        <w:rPr>
          <w:sz w:val="24"/>
          <w:szCs w:val="24"/>
        </w:rPr>
        <w:t xml:space="preserve">б) одређује се обавезно додатно стручно оспособљавање </w:t>
      </w:r>
    </w:p>
    <w:p>
      <w:pPr>
        <w:pStyle w:val="Normal"/>
        <w:spacing w:lineRule="auto" w:line="228"/>
        <w:ind w:right="3220" w:hanging="0"/>
        <w:rPr>
          <w:sz w:val="24"/>
          <w:szCs w:val="24"/>
        </w:rPr>
      </w:pPr>
      <w:r>
        <w:rPr>
          <w:sz w:val="24"/>
          <w:szCs w:val="24"/>
        </w:rPr>
        <w:t>в) даје се поново рок од 90 дана за ванредно оцењивање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180" w:hanging="0"/>
        <w:jc w:val="both"/>
        <w:rPr/>
      </w:pPr>
      <w:r>
        <w:rPr>
          <w:sz w:val="24"/>
          <w:szCs w:val="24"/>
        </w:rPr>
        <w:t>84. Напредовање државних службеника на извршилачким радним местима могуће је на три начина: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2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премештајем на непосредно више извршилачко радно место, постављењем на положај и преласком у виши платни разред без промене радног места</w:t>
      </w:r>
    </w:p>
    <w:p>
      <w:pPr>
        <w:pStyle w:val="Normal"/>
        <w:spacing w:lineRule="auto" w:line="235"/>
        <w:ind w:right="260" w:hanging="0"/>
        <w:rPr>
          <w:sz w:val="24"/>
          <w:szCs w:val="24"/>
        </w:rPr>
      </w:pPr>
      <w:r>
        <w:rPr>
          <w:sz w:val="24"/>
          <w:szCs w:val="24"/>
        </w:rPr>
        <w:t>б) унапређењем у више звање, постављењем на руководеће радно место и повећањем плате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ванредним унапређењем у више звање или на положај или повећањем плате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3"/>
          <w:szCs w:val="23"/>
        </w:rPr>
        <w:t xml:space="preserve">85. </w:t>
      </w:r>
      <w:r>
        <w:rPr>
          <w:sz w:val="24"/>
          <w:szCs w:val="24"/>
        </w:rPr>
        <w:t>Државни службеник може одговарати кривично, прекршајно, за повреде радних дужности и материјално (за штету). Одговорност за повреде радних дужности је:</w:t>
      </w:r>
    </w:p>
    <w:p>
      <w:pPr>
        <w:pStyle w:val="Normal"/>
        <w:spacing w:lineRule="exact" w:line="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35"/>
        <w:ind w:right="582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дисциплинска одговорност </w:t>
      </w:r>
      <w:r>
        <w:rPr>
          <w:sz w:val="24"/>
          <w:szCs w:val="24"/>
        </w:rPr>
        <w:t xml:space="preserve">б) прекршајна одговорност </w:t>
      </w:r>
    </w:p>
    <w:p>
      <w:pPr>
        <w:pStyle w:val="Normal"/>
        <w:spacing w:lineRule="auto" w:line="235"/>
        <w:ind w:right="5820" w:hanging="0"/>
        <w:rPr>
          <w:sz w:val="23"/>
          <w:szCs w:val="23"/>
        </w:rPr>
      </w:pPr>
      <w:r>
        <w:rPr>
          <w:sz w:val="24"/>
          <w:szCs w:val="24"/>
        </w:rPr>
        <w:t>в) службена одговорност</w:t>
      </w:r>
    </w:p>
    <w:p>
      <w:pPr>
        <w:pStyle w:val="Normal"/>
        <w:spacing w:lineRule="exact" w:line="288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28"/>
        <w:ind w:right="860" w:hanging="0"/>
        <w:jc w:val="both"/>
        <w:rPr/>
      </w:pPr>
      <w:r>
        <w:rPr>
          <w:sz w:val="24"/>
          <w:szCs w:val="24"/>
        </w:rPr>
        <w:t>86. Повреде радних дужности због којих се може дисциплински одговарати прописане су: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Законом о државним службеницима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б) Законом о државним службеницима и другим законима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11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в) Законом о државним службеницима и Кодексом понашања државних службеника, а за поједине органе и другим законом</w:t>
      </w:r>
    </w:p>
    <w:p>
      <w:pPr>
        <w:pStyle w:val="Normal"/>
        <w:spacing w:lineRule="exact" w:line="27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87. Повреде радних дужности могу бити лакше и: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теже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тешке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средње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/>
      </w:pPr>
      <w:r>
        <w:rPr>
          <w:sz w:val="24"/>
          <w:szCs w:val="24"/>
        </w:rPr>
        <w:t>88. Ако у органу није образована дисциплинска комисија, дисциплински поступак против државног службеника на извршилачком радном месту покреће, води и доноси одлуку: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непосредни претпостављени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руководилац органа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државни службеник на ког руководилац пренесе овлашћење за то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89. Државни службеник има/нема право да се на усменој расправи у дисциплинском поступку брани преко заступника: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8280" w:hanging="0"/>
        <w:rPr/>
      </w:pPr>
      <w:r>
        <w:rPr>
          <w:b/>
          <w:bCs/>
          <w:sz w:val="24"/>
          <w:szCs w:val="24"/>
        </w:rPr>
        <w:t xml:space="preserve">а) има </w:t>
      </w:r>
      <w:r>
        <w:rPr>
          <w:sz w:val="24"/>
          <w:szCs w:val="24"/>
        </w:rPr>
        <w:t>б)нема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90. За теже повреде радних дужности може се, поред других казни, изрећи и казна: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престанак радног односа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условни престанак радног односа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привремени престанак радног односа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540" w:hanging="0"/>
        <w:jc w:val="both"/>
        <w:rPr/>
      </w:pPr>
      <w:r>
        <w:rPr>
          <w:sz w:val="24"/>
          <w:szCs w:val="24"/>
        </w:rPr>
        <w:t>91. Пошто је покренут дисциплински поступак, државни службеник може, под одређеним условима, бити до окончања тог поступка: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премештен на друго радно место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удаљен с рада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упућен на годишњи одмор</w:t>
      </w:r>
    </w:p>
    <w:p>
      <w:pPr>
        <w:pStyle w:val="Normal"/>
        <w:spacing w:lineRule="exact" w:line="28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620" w:hanging="0"/>
        <w:jc w:val="both"/>
        <w:rPr/>
      </w:pPr>
      <w:r>
        <w:rPr>
          <w:sz w:val="24"/>
          <w:szCs w:val="24"/>
        </w:rPr>
        <w:t>92. Државни службеник је одговоран за штету коју на раду или у вези с радом проузрокује државном органу, ако је штету проузроковао: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намерно или из крајње непажње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2080" w:hanging="0"/>
        <w:rPr>
          <w:sz w:val="24"/>
          <w:szCs w:val="24"/>
        </w:rPr>
      </w:pPr>
      <w:r>
        <w:rPr>
          <w:sz w:val="24"/>
          <w:szCs w:val="24"/>
        </w:rPr>
        <w:t xml:space="preserve">б) после упозорења претпостављеног да може проузроковати штету </w:t>
      </w:r>
    </w:p>
    <w:p>
      <w:pPr>
        <w:pStyle w:val="Normal"/>
        <w:spacing w:lineRule="auto" w:line="228"/>
        <w:ind w:right="2080" w:hanging="0"/>
        <w:rPr>
          <w:sz w:val="24"/>
          <w:szCs w:val="24"/>
        </w:rPr>
      </w:pPr>
      <w:r>
        <w:rPr>
          <w:sz w:val="24"/>
          <w:szCs w:val="24"/>
        </w:rPr>
        <w:t>в) обичним немаром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880" w:hanging="0"/>
        <w:jc w:val="both"/>
        <w:rPr/>
      </w:pPr>
      <w:r>
        <w:rPr>
          <w:sz w:val="24"/>
          <w:szCs w:val="24"/>
        </w:rPr>
        <w:t>93. Државни службеник може да се ослободи одговорности за штету коју је проузроковао извршењем налога претпостављеног, под условом да је: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400" w:hanging="0"/>
        <w:rPr/>
      </w:pPr>
      <w:r>
        <w:rPr>
          <w:b/>
          <w:bCs/>
          <w:sz w:val="24"/>
          <w:szCs w:val="24"/>
        </w:rPr>
        <w:t xml:space="preserve">а) претпостављеном саопштио да извршење налога може проузроковати штету </w:t>
      </w:r>
      <w:r>
        <w:rPr>
          <w:sz w:val="24"/>
          <w:szCs w:val="24"/>
        </w:rPr>
        <w:t xml:space="preserve">б) прибележио на омоту списа да поступа по налогу претпостављеног </w:t>
      </w:r>
    </w:p>
    <w:p>
      <w:pPr>
        <w:pStyle w:val="Normal"/>
        <w:spacing w:lineRule="auto" w:line="235"/>
        <w:ind w:right="400" w:hanging="0"/>
        <w:rPr>
          <w:sz w:val="24"/>
          <w:szCs w:val="24"/>
        </w:rPr>
      </w:pPr>
      <w:r>
        <w:rPr>
          <w:sz w:val="24"/>
          <w:szCs w:val="24"/>
        </w:rPr>
        <w:t>в) упознао колеге о налогу претпостављеног који може проузроковати штету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4720" w:hanging="0"/>
        <w:rPr>
          <w:sz w:val="24"/>
          <w:szCs w:val="24"/>
        </w:rPr>
      </w:pPr>
      <w:r>
        <w:rPr>
          <w:sz w:val="24"/>
          <w:szCs w:val="24"/>
        </w:rPr>
        <w:t xml:space="preserve">94. Намештеник заснива радни однос: </w:t>
      </w:r>
    </w:p>
    <w:p>
      <w:pPr>
        <w:pStyle w:val="Normal"/>
        <w:tabs>
          <w:tab w:val="left" w:pos="768" w:leader="none"/>
        </w:tabs>
        <w:spacing w:lineRule="auto" w:line="228"/>
        <w:ind w:right="4720" w:hanging="0"/>
        <w:rPr>
          <w:sz w:val="24"/>
          <w:szCs w:val="24"/>
        </w:rPr>
      </w:pPr>
      <w:r>
        <w:rPr>
          <w:sz w:val="24"/>
          <w:szCs w:val="24"/>
        </w:rPr>
        <w:t>а) решењем о пријему у радни однос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уговором о раду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уговором о повременим и привременим пословима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500" w:hanging="0"/>
        <w:jc w:val="both"/>
        <w:rPr/>
      </w:pPr>
      <w:r>
        <w:rPr>
          <w:sz w:val="24"/>
          <w:szCs w:val="24"/>
        </w:rPr>
        <w:t>95. Када услед промене унутрашњег уређења органа нема радних места на које намештеник може бити премештен или распоређен, намештеник: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постаје нераспоређен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добија отказ уговора о раду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добија решење о престанку радног односа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96. Намештеник има право на плату, накнаде и друга примања према: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закону којим се уређују плате у државним органима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општим прописима о раду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одредбама уговора о раду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>97. 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сви поклони које дају странке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0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протоколорани и пригодни поклони мање вредности</w:t>
      </w:r>
    </w:p>
    <w:p>
      <w:pPr>
        <w:pStyle w:val="Normal"/>
        <w:spacing w:lineRule="auto" w:line="228"/>
        <w:ind w:right="3020" w:hanging="0"/>
        <w:rPr>
          <w:sz w:val="24"/>
          <w:szCs w:val="24"/>
        </w:rPr>
      </w:pPr>
      <w:r>
        <w:rPr>
          <w:sz w:val="24"/>
          <w:szCs w:val="24"/>
        </w:rPr>
        <w:t>в) поклони који се добијају без тражења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580" w:hanging="0"/>
        <w:rPr>
          <w:sz w:val="24"/>
          <w:szCs w:val="24"/>
        </w:rPr>
      </w:pPr>
      <w:r>
        <w:rPr>
          <w:sz w:val="24"/>
          <w:szCs w:val="24"/>
        </w:rPr>
        <w:t>98. Забрана примања поклона, других услуга и користи за себе или друга лица обухвата и: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288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а) забрану тражења поклона, других услуга или користи </w:t>
      </w:r>
      <w:r>
        <w:rPr>
          <w:sz w:val="24"/>
          <w:szCs w:val="24"/>
        </w:rPr>
        <w:t>б) не обухвата</w:t>
      </w:r>
    </w:p>
    <w:p>
      <w:pPr>
        <w:pStyle w:val="Normal"/>
        <w:ind w:right="2880" w:hanging="0"/>
        <w:rPr>
          <w:sz w:val="24"/>
          <w:szCs w:val="24"/>
        </w:rPr>
      </w:pPr>
      <w:r>
        <w:rPr>
          <w:sz w:val="24"/>
          <w:szCs w:val="24"/>
        </w:rPr>
        <w:t>в) прописи нису јасни с тим у вези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00" w:hanging="0"/>
        <w:jc w:val="both"/>
        <w:rPr/>
      </w:pPr>
      <w:r>
        <w:rPr>
          <w:sz w:val="24"/>
          <w:szCs w:val="24"/>
        </w:rPr>
        <w:t>99. Повреда дужности, односно правила у вези са забраном примања поклона, других услуга и користи квалификована је у Закону о државним службеницима као: а) лакша повреда радне дужности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тежа повреда радне дужности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лакша или тежа повреда радне дужности, зависно од тежине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500" w:hanging="0"/>
        <w:jc w:val="both"/>
        <w:rPr/>
      </w:pPr>
      <w:r>
        <w:rPr>
          <w:sz w:val="24"/>
          <w:szCs w:val="24"/>
        </w:rPr>
        <w:t>100. 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писмено обавести руководиоца органа (ради изузећа)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буде уздржан од могућности сукоба интереса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даје предност јавном интересу пред својим приватним интересом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47"/>
        <w:ind w:right="360" w:hang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101. </w:t>
      </w:r>
      <w:r>
        <w:rPr>
          <w:sz w:val="24"/>
          <w:szCs w:val="24"/>
        </w:rPr>
        <w:t>У циљу спречавања и отклањања могућности за настанак и развој корупције, органи државне управе су дужни да доносе планове интегритета, у складу са:</w:t>
      </w:r>
    </w:p>
    <w:p>
      <w:pPr>
        <w:pStyle w:val="Normal"/>
        <w:rPr>
          <w:sz w:val="23"/>
          <w:szCs w:val="23"/>
        </w:rPr>
      </w:pPr>
      <w:r>
        <w:rPr>
          <w:sz w:val="24"/>
          <w:szCs w:val="24"/>
        </w:rPr>
        <w:t>а) законом</w:t>
      </w:r>
    </w:p>
    <w:p>
      <w:pPr>
        <w:pStyle w:val="Normal"/>
        <w:spacing w:lineRule="exact" w:line="1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28"/>
        <w:ind w:right="2280" w:hanging="0"/>
        <w:rPr>
          <w:sz w:val="23"/>
          <w:szCs w:val="23"/>
        </w:rPr>
      </w:pPr>
      <w:r>
        <w:rPr>
          <w:b/>
          <w:bCs/>
          <w:sz w:val="24"/>
          <w:szCs w:val="24"/>
        </w:rPr>
        <w:t xml:space="preserve">б) законом и смерницама Агенције за борбу против корупције </w:t>
      </w:r>
      <w:r>
        <w:rPr>
          <w:sz w:val="24"/>
          <w:szCs w:val="24"/>
        </w:rPr>
        <w:t>в) оценом изложености корупцији</w:t>
      </w:r>
    </w:p>
    <w:p>
      <w:pPr>
        <w:pStyle w:val="Normal"/>
        <w:spacing w:lineRule="exact" w:line="289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left" w:pos="768" w:leader="none"/>
        </w:tabs>
        <w:spacing w:lineRule="auto" w:line="228"/>
        <w:ind w:right="1080" w:hanging="0"/>
        <w:rPr>
          <w:sz w:val="24"/>
          <w:szCs w:val="24"/>
        </w:rPr>
      </w:pPr>
      <w:r>
        <w:rPr>
          <w:sz w:val="24"/>
          <w:szCs w:val="24"/>
        </w:rPr>
        <w:t>102. Извештаје о спровођењу планова интегритета, органи државне управе достављају: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Влади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80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Агенцији за борбу против корупције </w:t>
      </w:r>
    </w:p>
    <w:p>
      <w:pPr>
        <w:pStyle w:val="Normal"/>
        <w:spacing w:lineRule="auto" w:line="228"/>
        <w:ind w:right="4800" w:hanging="0"/>
        <w:rPr/>
      </w:pPr>
      <w:r>
        <w:rPr>
          <w:sz w:val="24"/>
          <w:szCs w:val="24"/>
        </w:rPr>
        <w:t>в) медијима</w:t>
      </w:r>
    </w:p>
    <w:p>
      <w:pPr>
        <w:pStyle w:val="Normal"/>
        <w:spacing w:lineRule="auto" w:line="228"/>
        <w:ind w:right="480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/>
      </w:pPr>
      <w:bookmarkStart w:id="30" w:name="page47"/>
      <w:bookmarkEnd w:id="30"/>
      <w:r>
        <w:rPr>
          <w:sz w:val="24"/>
          <w:szCs w:val="24"/>
        </w:rPr>
        <w:t>103. Злоупотреба обавештавања о сумњу у постојање корупције представља: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а) тежу повреду радних дужности</w:t>
      </w:r>
    </w:p>
    <w:p>
      <w:pPr>
        <w:pStyle w:val="Normal"/>
        <w:spacing w:lineRule="auto" w:line="235"/>
        <w:rPr>
          <w:sz w:val="20"/>
          <w:szCs w:val="20"/>
        </w:rPr>
      </w:pPr>
      <w:r>
        <w:rPr>
          <w:sz w:val="24"/>
          <w:szCs w:val="24"/>
        </w:rPr>
        <w:t>б) лакшу повреду радних дужности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није кажњива</w:t>
      </w:r>
    </w:p>
    <w:p>
      <w:pPr>
        <w:pStyle w:val="Normal"/>
        <w:spacing w:lineRule="exact" w:line="28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220" w:hanging="0"/>
        <w:jc w:val="both"/>
        <w:rPr/>
      </w:pPr>
      <w:r>
        <w:rPr>
          <w:sz w:val="24"/>
          <w:szCs w:val="24"/>
        </w:rPr>
        <w:t>104. Да ли Закон о заштити узбуњивача пружа заштиту државном службенику који указује на кршење прописа о сукобу интереса и спречавању корупције: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right="8540" w:hanging="0"/>
        <w:jc w:val="both"/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а) да </w:t>
      </w:r>
      <w:r>
        <w:rPr>
          <w:sz w:val="23"/>
          <w:szCs w:val="23"/>
        </w:rPr>
        <w:t>б) не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105. Државни службеник може ван радног времена да ради за другог послодавца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right="660" w:hanging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(додатни рад), </w:t>
      </w:r>
      <w:r>
        <w:rPr>
          <w:sz w:val="24"/>
          <w:szCs w:val="24"/>
          <w:u w:val="single"/>
        </w:rPr>
        <w:t>ако тај рад није забрањен законом или другим прописом,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 ствара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могућност сукоба интереса или не утиче на непристрасност његовог рада</w:t>
      </w:r>
      <w:r>
        <w:rPr>
          <w:sz w:val="24"/>
          <w:szCs w:val="24"/>
        </w:rPr>
        <w:t>. Поред наведених услова, за додатни рад потребна је и: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4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а) писмена сагласност руководиоца органа </w:t>
      </w:r>
      <w:r>
        <w:rPr>
          <w:sz w:val="24"/>
          <w:szCs w:val="24"/>
        </w:rPr>
        <w:t>б) дозвола руководиоца органа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в) сагласност Агенције за борбу против корупције</w:t>
      </w:r>
    </w:p>
    <w:p>
      <w:pPr>
        <w:pStyle w:val="Normal"/>
        <w:spacing w:lineRule="exact" w:line="34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400" w:hanging="0"/>
        <w:jc w:val="both"/>
        <w:rPr/>
      </w:pPr>
      <w:r>
        <w:rPr>
          <w:sz w:val="24"/>
          <w:szCs w:val="24"/>
        </w:rPr>
        <w:t>106. Државни службеник сме/не сме бити оснивач привредног друштва или јавне службе или се бавити предузетништвом: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сме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не сме</w:t>
      </w:r>
    </w:p>
    <w:p>
      <w:pPr>
        <w:pStyle w:val="Normal"/>
        <w:spacing w:lineRule="exact" w:line="27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800" w:hanging="0"/>
        <w:jc w:val="both"/>
        <w:rPr/>
      </w:pPr>
      <w:bookmarkStart w:id="31" w:name="page49"/>
      <w:bookmarkEnd w:id="31"/>
      <w:r>
        <w:rPr>
          <w:sz w:val="24"/>
          <w:szCs w:val="24"/>
        </w:rPr>
        <w:t>107. Министри су за свој рад и за стање у области из делокруга министарства одговорни:</w:t>
      </w:r>
    </w:p>
    <w:p>
      <w:pPr>
        <w:pStyle w:val="Normal"/>
        <w:spacing w:lineRule="exact" w:lin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6620" w:hanging="0"/>
        <w:rPr>
          <w:sz w:val="24"/>
          <w:szCs w:val="24"/>
        </w:rPr>
      </w:pPr>
      <w:r>
        <w:rPr>
          <w:sz w:val="24"/>
          <w:szCs w:val="24"/>
        </w:rPr>
        <w:t>а) Народној скупштини б) Влади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в) председнику Владе, Влади и Народној скупштини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/>
      </w:pPr>
      <w:r>
        <w:rPr>
          <w:sz w:val="24"/>
          <w:szCs w:val="24"/>
        </w:rPr>
        <w:t>108. Влада усмерава органе државне управе (у спровођењу политике и извршавању закона и других прописа), усклађује њихов рад и министарствима и посебним организацијама одређује рокове за доношење прописа (ако ти рокови нису одређени законом или општим актом Владе). Све то Влада чини актима који се називају:</w:t>
      </w:r>
    </w:p>
    <w:p>
      <w:pPr>
        <w:pStyle w:val="Normal"/>
        <w:spacing w:lineRule="exact" w:lin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7700" w:hanging="0"/>
        <w:rPr/>
      </w:pPr>
      <w:r>
        <w:rPr>
          <w:b/>
          <w:bCs/>
          <w:sz w:val="24"/>
          <w:szCs w:val="24"/>
        </w:rPr>
        <w:t xml:space="preserve">а)закључци </w:t>
      </w:r>
      <w:r>
        <w:rPr>
          <w:sz w:val="24"/>
          <w:szCs w:val="24"/>
        </w:rPr>
        <w:t xml:space="preserve">б) уредбе </w:t>
      </w:r>
    </w:p>
    <w:p>
      <w:pPr>
        <w:pStyle w:val="Normal"/>
        <w:spacing w:lineRule="auto" w:line="235"/>
        <w:ind w:right="7700" w:hanging="0"/>
        <w:rPr>
          <w:sz w:val="24"/>
          <w:szCs w:val="24"/>
        </w:rPr>
      </w:pPr>
      <w:r>
        <w:rPr>
          <w:sz w:val="24"/>
          <w:szCs w:val="24"/>
        </w:rPr>
        <w:t>в) одлуке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bookmarkStart w:id="32" w:name="page50"/>
      <w:bookmarkEnd w:id="32"/>
      <w:r>
        <w:rPr>
          <w:sz w:val="24"/>
          <w:szCs w:val="24"/>
        </w:rPr>
        <w:t>109. Када припреме нацрт закона, органи државне управе га достављају: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Влади, да она утврди нацрт прописа и упути га Народној скупштини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84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б) Влади, да она утврди предлог прописа и поднесе га Народној скупштини </w:t>
      </w:r>
      <w:r>
        <w:rPr>
          <w:sz w:val="24"/>
          <w:szCs w:val="24"/>
        </w:rPr>
        <w:t>в) Влади као свој предлог закона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110. Народна скупштина надзире рад органа државне управе: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непосредно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разматрањем њихових извештаја о раду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4"/>
          <w:szCs w:val="24"/>
        </w:rPr>
        <w:t>в) преко надзора над радом Владе и чланова Владе</w:t>
      </w:r>
    </w:p>
    <w:p>
      <w:pPr>
        <w:pStyle w:val="Normal"/>
        <w:spacing w:lineRule="exact" w:line="28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460" w:hanging="0"/>
        <w:jc w:val="both"/>
        <w:rPr/>
      </w:pPr>
      <w:r>
        <w:rPr>
          <w:sz w:val="24"/>
          <w:szCs w:val="24"/>
        </w:rPr>
        <w:t>111. Народна скупштина може да изгласа неповерење министру и да га разреши. Разрешење министра могуће је:</w:t>
      </w:r>
    </w:p>
    <w:p>
      <w:pPr>
        <w:pStyle w:val="Normal"/>
        <w:spacing w:lineRule="exact" w:lin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4060" w:hanging="0"/>
        <w:rPr/>
      </w:pPr>
      <w:r>
        <w:rPr>
          <w:sz w:val="24"/>
          <w:szCs w:val="24"/>
        </w:rPr>
        <w:t xml:space="preserve">а) на предлог једне трећине народних посланика </w:t>
      </w:r>
    </w:p>
    <w:p>
      <w:pPr>
        <w:pStyle w:val="Normal"/>
        <w:spacing w:lineRule="auto" w:line="228"/>
        <w:ind w:right="4060" w:hanging="0"/>
        <w:rPr>
          <w:sz w:val="24"/>
          <w:szCs w:val="24"/>
        </w:rPr>
      </w:pPr>
      <w:r>
        <w:rPr>
          <w:sz w:val="24"/>
          <w:szCs w:val="24"/>
        </w:rPr>
        <w:t>б) на предлог Владе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в) на прелог председника Владе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bookmarkStart w:id="33" w:name="page52"/>
      <w:bookmarkEnd w:id="33"/>
      <w:r>
        <w:rPr>
          <w:sz w:val="24"/>
          <w:szCs w:val="24"/>
        </w:rPr>
        <w:t>112. Председник Репиблике, пошто саслуша мишљење представника изабраних изборних листа, предлаже Народној скупштини: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кандидата за председника Владе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кандидате за председника и чланове Владе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в)кандидате за председника Владе и министра одбране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80" w:hanging="0"/>
        <w:jc w:val="both"/>
        <w:rPr/>
      </w:pPr>
      <w:r>
        <w:rPr>
          <w:sz w:val="24"/>
          <w:szCs w:val="24"/>
        </w:rPr>
        <w:t>113. Односи органа државне управе са судовима почивају на обавези првих да поштују независност суда, као и на јасној подели надлежности, изведеној сагласно начелу поделе власти. Ипак, постоји судска контрола законитости коначних управних аката и, с тим у вези, право суда да: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поништи управни акт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поништи управни акт, реши управну ствар или наложи органу доношење новог акта или доношење акта када он није ни био донет </w:t>
      </w:r>
    </w:p>
    <w:p>
      <w:pPr>
        <w:pStyle w:val="Normal"/>
        <w:spacing w:lineRule="auto" w:line="235"/>
        <w:ind w:right="60" w:hanging="0"/>
        <w:rPr>
          <w:sz w:val="24"/>
          <w:szCs w:val="24"/>
        </w:rPr>
      </w:pPr>
      <w:r>
        <w:rPr>
          <w:sz w:val="24"/>
          <w:szCs w:val="24"/>
        </w:rPr>
        <w:t>в) поништи и измени управни акт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400" w:hanging="0"/>
        <w:jc w:val="both"/>
        <w:rPr/>
      </w:pPr>
      <w:r>
        <w:rPr>
          <w:sz w:val="24"/>
          <w:szCs w:val="24"/>
        </w:rPr>
        <w:t>114. Када у управном поступку орган управе мора да, пре одлучивања о управној ствари, реши питање постојања кривичног дела, постојања брака или да утврди родитељство, такво питање (тзв. претходно питање):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дужан је да сам реши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дужан је да решавање препусти суду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може га сам решити за потребе даљег вођења поступка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460" w:hanging="0"/>
        <w:jc w:val="both"/>
        <w:rPr/>
      </w:pPr>
      <w:r>
        <w:rPr>
          <w:sz w:val="24"/>
          <w:szCs w:val="24"/>
        </w:rPr>
        <w:t>115. Орган државне управе може затражити да му суд достави списе потребне за вођење управног поступка, а суд: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је дужан да их достави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17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је дужан да их достави, ако то не омета вођење судског поступка</w:t>
      </w:r>
    </w:p>
    <w:p>
      <w:pPr>
        <w:pStyle w:val="Normal"/>
        <w:spacing w:lineRule="auto" w:line="228"/>
        <w:ind w:right="1760" w:hanging="0"/>
        <w:rPr>
          <w:sz w:val="24"/>
          <w:szCs w:val="24"/>
        </w:rPr>
      </w:pPr>
      <w:r>
        <w:rPr>
          <w:sz w:val="24"/>
          <w:szCs w:val="24"/>
        </w:rPr>
        <w:t>в) није дужан да их достави</w:t>
      </w:r>
    </w:p>
    <w:p>
      <w:pPr>
        <w:pStyle w:val="Normal"/>
        <w:spacing w:lineRule="exact" w:line="2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120" w:hanging="0"/>
        <w:jc w:val="both"/>
        <w:rPr/>
      </w:pPr>
      <w:r>
        <w:rPr>
          <w:sz w:val="24"/>
          <w:szCs w:val="24"/>
        </w:rPr>
        <w:t>116. Ако орган државне управе не достави суду исправе којима располаже, а које су потребне за вођење управног спора, то ће бити разлог за: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новчано кажњавање руководиоца органа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б) новчано кажњавање овлашћеног државног службеника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220" w:hanging="0"/>
        <w:jc w:val="both"/>
        <w:rPr/>
      </w:pPr>
      <w:r>
        <w:rPr>
          <w:sz w:val="24"/>
          <w:szCs w:val="24"/>
        </w:rPr>
        <w:t>117. За узајамне односе судова и органа државне управе посебно су важни послови правосудне управе, које обавља: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секретар суда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376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б) министарство надлежно за послове правосуђа </w:t>
      </w:r>
      <w:r>
        <w:rPr>
          <w:sz w:val="24"/>
          <w:szCs w:val="24"/>
        </w:rPr>
        <w:t>в) Високи савет судства</w:t>
      </w:r>
    </w:p>
    <w:p>
      <w:pPr>
        <w:pStyle w:val="Normal"/>
        <w:spacing w:lineRule="exact" w:line="200"/>
        <w:rPr>
          <w:sz w:val="24"/>
          <w:szCs w:val="24"/>
        </w:rPr>
      </w:pPr>
      <w:bookmarkStart w:id="34" w:name="page53"/>
      <w:bookmarkStart w:id="35" w:name="page53"/>
      <w:bookmarkEnd w:id="35"/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340" w:hanging="0"/>
        <w:jc w:val="both"/>
        <w:rPr>
          <w:sz w:val="24"/>
          <w:szCs w:val="24"/>
        </w:rPr>
      </w:pPr>
      <w:r>
        <w:rPr>
          <w:sz w:val="24"/>
          <w:szCs w:val="24"/>
        </w:rPr>
        <w:t>118. Дужност предузимања радњи по налогу јавног тужилаштва у циљу откивања кривичних дела, починилаца тих дела и њиховог хватања и прикупљања доказа има: а) сваки од органа државне управе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полиција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сваки од инспекцијских органа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580" w:hanging="0"/>
        <w:jc w:val="both"/>
        <w:rPr/>
      </w:pPr>
      <w:r>
        <w:rPr>
          <w:sz w:val="24"/>
          <w:szCs w:val="24"/>
        </w:rPr>
        <w:t>119. Јавни тужилац има право да улаже правна средства у управном поступку и управном спору ради заштите уставности и законитости: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8280" w:hanging="0"/>
        <w:rPr/>
      </w:pPr>
      <w:r>
        <w:rPr>
          <w:b/>
          <w:bCs/>
          <w:sz w:val="24"/>
          <w:szCs w:val="24"/>
        </w:rPr>
        <w:t xml:space="preserve">а) има </w:t>
      </w:r>
      <w:r>
        <w:rPr>
          <w:sz w:val="24"/>
          <w:szCs w:val="24"/>
        </w:rPr>
        <w:t>б)нема</w:t>
      </w:r>
    </w:p>
    <w:p>
      <w:pPr>
        <w:pStyle w:val="Normal"/>
        <w:spacing w:lineRule="exact" w:line="27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rPr>
          <w:sz w:val="24"/>
          <w:szCs w:val="24"/>
        </w:rPr>
      </w:pPr>
      <w:r>
        <w:rPr>
          <w:sz w:val="24"/>
          <w:szCs w:val="24"/>
        </w:rPr>
        <w:t>120. Функција Заштитника грађана је: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а) заштита права грађана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контрола рада органа државне управе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60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в) заштита права грађана и контрола рада органа државне управе, Државног правобранилаштва и ималаца јавних овлашћења</w:t>
      </w:r>
    </w:p>
    <w:p>
      <w:pPr>
        <w:pStyle w:val="Normal"/>
        <w:spacing w:lineRule="exact" w:line="28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35"/>
        <w:ind w:right="640" w:hanging="0"/>
        <w:jc w:val="both"/>
        <w:rPr/>
      </w:pPr>
      <w:r>
        <w:rPr>
          <w:sz w:val="24"/>
          <w:szCs w:val="24"/>
        </w:rPr>
        <w:t>121. У оквиру поступка који води, Заштитник грађана има право приступа просторијама и увида у списе и податке органа државне управе, а може и обавити разговор: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само са руководиоцем органа државне управе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са сваким државним службеником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180" w:hanging="0"/>
        <w:rPr>
          <w:sz w:val="24"/>
          <w:szCs w:val="24"/>
        </w:rPr>
      </w:pPr>
      <w:r>
        <w:rPr>
          <w:sz w:val="24"/>
          <w:szCs w:val="24"/>
        </w:rPr>
        <w:t>122. Препоруке Заштитника грађана за отклањање утврђених неправилности, орган државне управе је дужан да спроведе и обавести га о спровођењу у року од: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right="7980" w:hanging="0"/>
        <w:jc w:val="both"/>
        <w:rPr/>
      </w:pPr>
      <w:r>
        <w:rPr>
          <w:b/>
          <w:bCs/>
          <w:sz w:val="23"/>
          <w:szCs w:val="23"/>
        </w:rPr>
        <w:t xml:space="preserve">а) </w:t>
      </w:r>
      <w:r>
        <w:rPr>
          <w:b/>
          <w:bCs/>
          <w:sz w:val="24"/>
          <w:szCs w:val="24"/>
        </w:rPr>
        <w:t>60дана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б) </w:t>
      </w:r>
      <w:r>
        <w:rPr>
          <w:sz w:val="24"/>
          <w:szCs w:val="24"/>
        </w:rPr>
        <w:t>30 дана</w:t>
      </w:r>
      <w:r>
        <w:rPr>
          <w:sz w:val="23"/>
          <w:szCs w:val="23"/>
        </w:rPr>
        <w:t xml:space="preserve"> в) </w:t>
      </w:r>
      <w:r>
        <w:rPr>
          <w:sz w:val="24"/>
          <w:szCs w:val="24"/>
        </w:rPr>
        <w:t>15 дана</w:t>
      </w:r>
    </w:p>
    <w:p>
      <w:pPr>
        <w:pStyle w:val="Normal"/>
        <w:spacing w:lineRule="exact" w:line="2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0" w:leader="none"/>
        </w:tabs>
        <w:jc w:val="both"/>
        <w:rPr/>
      </w:pPr>
      <w:r>
        <w:rPr>
          <w:sz w:val="24"/>
          <w:szCs w:val="24"/>
        </w:rPr>
        <w:t>123. Поводом утврђених неправилности, Заштитник грађана је овлашћен да:</w:t>
      </w:r>
    </w:p>
    <w:p>
      <w:pPr>
        <w:pStyle w:val="Normal"/>
        <w:jc w:val="both"/>
        <w:rPr/>
      </w:pPr>
      <w:r>
        <w:rPr>
          <w:sz w:val="24"/>
          <w:szCs w:val="24"/>
        </w:rPr>
        <w:t>а) јавно препоручи разрешење руководиоца органа државне управе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б) иницира покретање дисциплинског поступка против одговорног службеника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28"/>
        <w:ind w:right="440" w:hanging="0"/>
        <w:jc w:val="both"/>
        <w:rPr/>
      </w:pPr>
      <w:r>
        <w:rPr>
          <w:b/>
          <w:bCs/>
          <w:sz w:val="24"/>
          <w:szCs w:val="24"/>
        </w:rPr>
        <w:t>в) јавно препоручи разрешење руководиоца органа државне управе и иницира покретање дисциплинског поступка против одговорног службеника</w:t>
      </w:r>
    </w:p>
    <w:p>
      <w:pPr>
        <w:pStyle w:val="Normal"/>
        <w:spacing w:lineRule="exact" w:line="28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36" w:name="page54"/>
      <w:bookmarkStart w:id="37" w:name="page54"/>
      <w:bookmarkEnd w:id="37"/>
      <w:r>
        <w:rPr>
          <w:sz w:val="20"/>
          <w:szCs w:val="20"/>
        </w:rPr>
      </w:r>
    </w:p>
    <w:p>
      <w:pPr>
        <w:pStyle w:val="Normal"/>
        <w:tabs>
          <w:tab w:val="left" w:pos="768" w:leader="none"/>
        </w:tabs>
        <w:spacing w:lineRule="auto" w:line="228"/>
        <w:ind w:right="160" w:hanging="0"/>
        <w:jc w:val="both"/>
        <w:rPr/>
      </w:pPr>
      <w:r>
        <w:rPr>
          <w:sz w:val="24"/>
          <w:szCs w:val="24"/>
        </w:rPr>
        <w:t>124. У захтеву за приступ информацијама од јавног значаја, тражилац информације је дужан/није дужан да наведе разлог због којег тражи информацију: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дужан је, како би орган знао зашто му је информација потребна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није дужан, успостављена је претпоставка оправданог интереса</w:t>
      </w:r>
    </w:p>
    <w:p>
      <w:pPr>
        <w:pStyle w:val="Normal"/>
        <w:spacing w:lineRule="exact" w:line="28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300" w:hanging="0"/>
        <w:jc w:val="both"/>
        <w:rPr/>
      </w:pPr>
      <w:r>
        <w:rPr>
          <w:sz w:val="24"/>
          <w:szCs w:val="24"/>
        </w:rPr>
        <w:t>125. Уколико орган државне управе не поступи по захтеву тражиоца информације од јавног значаја у року од 15 дана, тражилац информације може да се обрати: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жалбом другостепеном органу државне управе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6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жалбом Поверенику за информације од јавног значаја и заштиту података о личности </w:t>
      </w:r>
    </w:p>
    <w:p>
      <w:pPr>
        <w:pStyle w:val="Normal"/>
        <w:ind w:right="460" w:hanging="0"/>
        <w:rPr>
          <w:sz w:val="24"/>
          <w:szCs w:val="24"/>
        </w:rPr>
      </w:pPr>
      <w:r>
        <w:rPr>
          <w:sz w:val="24"/>
          <w:szCs w:val="24"/>
        </w:rPr>
        <w:t>в) поновити захтев за увид у информацију</w:t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60" w:hanging="0"/>
        <w:jc w:val="both"/>
        <w:rPr/>
      </w:pPr>
      <w:r>
        <w:rPr>
          <w:sz w:val="24"/>
          <w:szCs w:val="24"/>
        </w:rPr>
        <w:t>126. Ако одлучи да ускрати давање информације од јавног значаја и о томе обавести тражиоца информације, орган државне управе је дужан да се позове на: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right="134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а) неки од законских основа за ограничење права на слободан приступ информацијама од јавног значаја </w:t>
      </w:r>
    </w:p>
    <w:p>
      <w:pPr>
        <w:pStyle w:val="Normal"/>
        <w:spacing w:lineRule="auto" w:line="235"/>
        <w:ind w:right="1340" w:hanging="0"/>
        <w:rPr>
          <w:sz w:val="24"/>
          <w:szCs w:val="24"/>
        </w:rPr>
      </w:pPr>
      <w:r>
        <w:rPr>
          <w:sz w:val="24"/>
          <w:szCs w:val="24"/>
        </w:rPr>
        <w:t>б) чињеницу да се о тој ствари води поступак који није окончан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в) претпоставку да би давање информације штетило угледу државних органа</w:t>
      </w:r>
    </w:p>
    <w:p>
      <w:pPr>
        <w:pStyle w:val="Normal"/>
        <w:spacing w:lineRule="exact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28"/>
        <w:ind w:right="480" w:hanging="0"/>
        <w:jc w:val="both"/>
        <w:rPr/>
      </w:pPr>
      <w:r>
        <w:rPr>
          <w:sz w:val="24"/>
          <w:szCs w:val="24"/>
        </w:rPr>
        <w:t>127. Решења Повереника за информације од јавног значаја и заштиту података о личности донето поводом жалбе тражиоца информације представља: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а) првостепено решење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б) другостепени и коначни управни акт</w:t>
      </w:r>
    </w:p>
    <w:p>
      <w:pPr>
        <w:pStyle w:val="Normal"/>
        <w:spacing w:lineRule="auto" w:line="235"/>
        <w:rPr>
          <w:sz w:val="24"/>
          <w:szCs w:val="24"/>
        </w:rPr>
      </w:pPr>
      <w:r>
        <w:rPr>
          <w:sz w:val="24"/>
          <w:szCs w:val="24"/>
        </w:rPr>
        <w:t>в) решење које орган државне управе може да оспорава пред судом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600" w:hanging="0"/>
        <w:jc w:val="both"/>
        <w:rPr/>
      </w:pPr>
      <w:r>
        <w:rPr>
          <w:sz w:val="24"/>
          <w:szCs w:val="24"/>
        </w:rPr>
        <w:t>128. Због неизвршења решења Повереника за информације од јавног значаја и заштиту података о личности могу се (одговорном лицу у органу државне управе) изрећи:</w:t>
      </w:r>
    </w:p>
    <w:p>
      <w:pPr>
        <w:pStyle w:val="Normal"/>
        <w:spacing w:lineRule="exact" w:lin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а) новчане казне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б) дисциплинске мере </w:t>
      </w:r>
    </w:p>
    <w:p>
      <w:pPr>
        <w:pStyle w:val="Normal"/>
        <w:spacing w:lineRule="auto" w:line="228"/>
        <w:ind w:right="6780" w:hanging="0"/>
        <w:rPr>
          <w:sz w:val="24"/>
          <w:szCs w:val="24"/>
        </w:rPr>
      </w:pPr>
      <w:r>
        <w:rPr>
          <w:sz w:val="24"/>
          <w:szCs w:val="24"/>
        </w:rPr>
        <w:t>в) мера разрешења</w:t>
      </w:r>
    </w:p>
    <w:p>
      <w:pPr>
        <w:pStyle w:val="Normal"/>
        <w:spacing w:lineRule="exact" w:line="2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68" w:leader="none"/>
        </w:tabs>
        <w:spacing w:lineRule="auto" w:line="235"/>
        <w:ind w:right="160" w:hanging="0"/>
        <w:jc w:val="both"/>
        <w:rPr/>
      </w:pPr>
      <w:r>
        <w:rPr>
          <w:sz w:val="24"/>
          <w:szCs w:val="24"/>
        </w:rPr>
        <w:t>129. Повереник за информације од јавног значаја и заштиту података о личности има контролна овлашћења у области заштите података о личности, а та су овлашћења утврђена законом о: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right="5160" w:hanging="0"/>
        <w:rPr/>
      </w:pPr>
      <w:r>
        <w:rPr>
          <w:sz w:val="24"/>
          <w:szCs w:val="24"/>
        </w:rPr>
        <w:t xml:space="preserve">а) поступању са подацима о личности </w:t>
      </w:r>
    </w:p>
    <w:p>
      <w:pPr>
        <w:pStyle w:val="Normal"/>
        <w:spacing w:lineRule="auto" w:line="228"/>
        <w:ind w:right="5160" w:hanging="0"/>
        <w:rPr>
          <w:sz w:val="24"/>
          <w:szCs w:val="24"/>
        </w:rPr>
      </w:pPr>
      <w:r>
        <w:rPr>
          <w:sz w:val="24"/>
          <w:szCs w:val="24"/>
        </w:rPr>
        <w:t>б) Поверенику</w:t>
      </w:r>
    </w:p>
    <w:p>
      <w:pPr>
        <w:pStyle w:val="Normal"/>
        <w:spacing w:lineRule="exact" w:lin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заштити података о личности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5"/>
        <w:rPr>
          <w:sz w:val="20"/>
          <w:szCs w:val="20"/>
        </w:rPr>
      </w:pPr>
      <w:bookmarkStart w:id="38" w:name="page55"/>
      <w:bookmarkStart w:id="39" w:name="page55"/>
      <w:bookmarkEnd w:id="39"/>
      <w:r>
        <w:rPr>
          <w:sz w:val="20"/>
          <w:szCs w:val="20"/>
        </w:rPr>
      </w:r>
    </w:p>
    <w:p>
      <w:pPr>
        <w:pStyle w:val="Normal"/>
        <w:rPr>
          <w:color w:val="000000"/>
          <w:sz w:val="24"/>
          <w:szCs w:val="24"/>
          <w:highlight w:val="white"/>
        </w:rPr>
      </w:pPr>
      <w:bookmarkStart w:id="40" w:name="page58"/>
      <w:bookmarkEnd w:id="40"/>
      <w:r>
        <w:rPr>
          <w:color w:val="000000"/>
          <w:sz w:val="24"/>
          <w:szCs w:val="24"/>
          <w:shd w:fill="FFFFFF" w:val="clear"/>
        </w:rPr>
        <w:t>130. Судови суде на основу :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  <w:shd w:fill="FFFFFF" w:val="clear"/>
          <w:lang w:val="sr-RS"/>
        </w:rPr>
        <w:t>а</w:t>
      </w:r>
      <w:r>
        <w:rPr>
          <w:b/>
          <w:color w:val="000000"/>
          <w:sz w:val="24"/>
          <w:szCs w:val="24"/>
          <w:shd w:fill="FFFFFF" w:val="clear"/>
        </w:rPr>
        <w:t>) Устава, закона и других општих аката, када је то предвиђено законом, општеприхваћених правила међународног права и потврђених међународних уговора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б</w:t>
      </w:r>
      <w:r>
        <w:rPr>
          <w:color w:val="000000"/>
          <w:sz w:val="24"/>
          <w:szCs w:val="24"/>
          <w:shd w:fill="FFFFFF" w:val="clear"/>
        </w:rPr>
        <w:t>) Устава, закона и других општих аката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в</w:t>
      </w:r>
      <w:r>
        <w:rPr>
          <w:color w:val="000000"/>
          <w:sz w:val="24"/>
          <w:szCs w:val="24"/>
          <w:shd w:fill="FFFFFF" w:val="clear"/>
        </w:rPr>
        <w:t>) Устава, закона и других општих аката и потврђених међународних уговора.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Rvps1"/>
        <w:shd w:val="clear" w:color="auto" w:fill="FFFFFF"/>
        <w:spacing w:beforeAutospacing="0" w:before="0" w:afterAutospacing="0" w:after="0"/>
        <w:rPr>
          <w:color w:val="000000"/>
          <w:highlight w:val="white"/>
        </w:rPr>
      </w:pPr>
      <w:r>
        <w:rPr>
          <w:color w:val="000000"/>
          <w:shd w:fill="FFFFFF" w:val="clear"/>
        </w:rPr>
        <w:t>131. Судска надлежност одређује се:</w:t>
      </w:r>
    </w:p>
    <w:p>
      <w:pPr>
        <w:pStyle w:val="Rvps1"/>
        <w:shd w:val="clear" w:color="auto" w:fill="FFFFFF"/>
        <w:spacing w:beforeAutospacing="0" w:before="0" w:afterAutospacing="0" w:after="0"/>
        <w:rPr/>
      </w:pPr>
      <w:r>
        <w:rPr>
          <w:b/>
          <w:color w:val="000000"/>
          <w:shd w:fill="FFFFFF" w:val="clear"/>
          <w:lang w:val="sr-RS"/>
        </w:rPr>
        <w:t>а</w:t>
      </w:r>
      <w:r>
        <w:rPr>
          <w:b/>
          <w:color w:val="000000"/>
          <w:shd w:fill="FFFFFF" w:val="clear"/>
        </w:rPr>
        <w:t>) Уставом и законом</w:t>
      </w:r>
    </w:p>
    <w:p>
      <w:pPr>
        <w:pStyle w:val="Rvps1"/>
        <w:shd w:val="clear" w:color="auto" w:fill="FFFFFF"/>
        <w:spacing w:beforeAutospacing="0" w:before="0" w:afterAutospacing="0" w:after="0"/>
        <w:rPr/>
      </w:pPr>
      <w:r>
        <w:rPr>
          <w:color w:val="000000"/>
          <w:shd w:fill="FFFFFF" w:val="clear"/>
          <w:lang w:val="sr-RS"/>
        </w:rPr>
        <w:t>б</w:t>
      </w:r>
      <w:r>
        <w:rPr>
          <w:color w:val="000000"/>
          <w:shd w:fill="FFFFFF" w:val="clear"/>
        </w:rPr>
        <w:t>) Уставом</w:t>
      </w:r>
    </w:p>
    <w:p>
      <w:pPr>
        <w:pStyle w:val="Rvps1"/>
        <w:shd w:val="clear" w:color="auto" w:fill="FFFFFF"/>
        <w:spacing w:beforeAutospacing="0" w:before="0" w:afterAutospacing="0" w:after="0"/>
        <w:rPr/>
      </w:pPr>
      <w:r>
        <w:rPr>
          <w:color w:val="000000"/>
          <w:shd w:fill="FFFFFF" w:val="clear"/>
          <w:lang w:val="sr-RS"/>
        </w:rPr>
        <w:t>в</w:t>
      </w:r>
      <w:r>
        <w:rPr>
          <w:color w:val="000000"/>
          <w:shd w:fill="FFFFFF" w:val="clear"/>
        </w:rPr>
        <w:t>) Законом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Rvps1"/>
        <w:shd w:val="clear" w:color="auto" w:fill="FFFFFF"/>
        <w:spacing w:beforeAutospacing="0" w:before="0" w:afterAutospacing="0" w:after="0"/>
        <w:rPr>
          <w:rStyle w:val="Rvts3"/>
          <w:color w:val="000000"/>
        </w:rPr>
      </w:pPr>
      <w:r>
        <w:rPr>
          <w:rStyle w:val="Rvts3"/>
          <w:color w:val="000000"/>
        </w:rPr>
        <w:t xml:space="preserve">132. Судска власт је : </w:t>
      </w:r>
    </w:p>
    <w:p>
      <w:pPr>
        <w:pStyle w:val="Rvps1"/>
        <w:shd w:val="clear" w:color="auto" w:fill="FFFFFF"/>
        <w:spacing w:beforeAutospacing="0" w:before="0" w:afterAutospacing="0" w:after="0"/>
        <w:rPr/>
      </w:pPr>
      <w:r>
        <w:rPr>
          <w:rStyle w:val="Rvts3"/>
          <w:b/>
          <w:color w:val="000000"/>
          <w:lang w:val="sr-RS"/>
        </w:rPr>
        <w:t>а</w:t>
      </w:r>
      <w:r>
        <w:rPr>
          <w:rStyle w:val="Rvts3"/>
          <w:b/>
          <w:color w:val="000000"/>
        </w:rPr>
        <w:t xml:space="preserve"> ) јединствена на територији Републике Србије</w:t>
      </w:r>
    </w:p>
    <w:p>
      <w:pPr>
        <w:pStyle w:val="Rvps1"/>
        <w:shd w:val="clear" w:color="auto" w:fill="FFFFFF"/>
        <w:spacing w:beforeAutospacing="0" w:before="0" w:afterAutospacing="0" w:after="0"/>
        <w:rPr/>
      </w:pPr>
      <w:r>
        <w:rPr>
          <w:rStyle w:val="Rvts3"/>
          <w:color w:val="000000"/>
          <w:lang w:val="sr-RS"/>
        </w:rPr>
        <w:t>б</w:t>
      </w:r>
      <w:r>
        <w:rPr>
          <w:rStyle w:val="Rvts3"/>
          <w:color w:val="000000"/>
        </w:rPr>
        <w:t xml:space="preserve"> ) подељена по управним окрузима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fill="FFFFFF" w:val="clear"/>
        </w:rPr>
        <w:t>133. Највиши суд у Републици Србији је :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а</w:t>
      </w:r>
      <w:r>
        <w:rPr>
          <w:color w:val="000000"/>
          <w:sz w:val="24"/>
          <w:szCs w:val="24"/>
          <w:shd w:fill="FFFFFF" w:val="clear"/>
        </w:rPr>
        <w:t>) Уставни суд</w:t>
      </w:r>
    </w:p>
    <w:p>
      <w:pPr>
        <w:pStyle w:val="Normal"/>
        <w:rPr/>
      </w:pPr>
      <w:r>
        <w:rPr>
          <w:b/>
          <w:color w:val="000000"/>
          <w:sz w:val="24"/>
          <w:szCs w:val="24"/>
          <w:shd w:fill="FFFFFF" w:val="clear"/>
          <w:lang w:val="sr-RS"/>
        </w:rPr>
        <w:t>б</w:t>
      </w:r>
      <w:r>
        <w:rPr>
          <w:b/>
          <w:color w:val="000000"/>
          <w:sz w:val="24"/>
          <w:szCs w:val="24"/>
          <w:shd w:fill="FFFFFF" w:val="clear"/>
        </w:rPr>
        <w:t>) Врховни касациони суд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в</w:t>
      </w:r>
      <w:r>
        <w:rPr>
          <w:color w:val="000000"/>
          <w:sz w:val="24"/>
          <w:szCs w:val="24"/>
          <w:shd w:fill="FFFFFF" w:val="clear"/>
        </w:rPr>
        <w:t>) Апелациони суд у Београду</w:t>
      </w:r>
    </w:p>
    <w:p>
      <w:pPr>
        <w:pStyle w:val="Normal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Rvps1"/>
        <w:shd w:val="clear" w:color="auto" w:fill="FFFFFF"/>
        <w:spacing w:beforeAutospacing="0" w:before="0" w:afterAutospacing="0" w:after="0"/>
        <w:rPr>
          <w:rStyle w:val="Rvts3"/>
          <w:color w:val="000000"/>
        </w:rPr>
      </w:pPr>
      <w:r>
        <w:rPr>
          <w:rStyle w:val="Rvts3"/>
          <w:color w:val="000000"/>
        </w:rPr>
        <w:t xml:space="preserve">134. Јавно тужилаштво врши своју функцију на основу : </w:t>
      </w:r>
    </w:p>
    <w:p>
      <w:pPr>
        <w:pStyle w:val="Rvps1"/>
        <w:shd w:val="clear" w:color="auto" w:fill="FFFFFF"/>
        <w:spacing w:beforeAutospacing="0" w:before="0" w:afterAutospacing="0" w:after="0"/>
        <w:rPr/>
      </w:pPr>
      <w:r>
        <w:rPr>
          <w:rStyle w:val="Rvts3"/>
          <w:b/>
          <w:color w:val="000000"/>
          <w:lang w:val="sr-RS"/>
        </w:rPr>
        <w:t>а</w:t>
      </w:r>
      <w:r>
        <w:rPr>
          <w:rStyle w:val="Rvts3"/>
          <w:b/>
          <w:color w:val="000000"/>
        </w:rPr>
        <w:t>) Устава, закона, потврђеног међународног уговора и прописа донетог на основу закона.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б</w:t>
      </w:r>
      <w:r>
        <w:rPr>
          <w:color w:val="000000"/>
          <w:sz w:val="24"/>
          <w:szCs w:val="24"/>
          <w:shd w:fill="FFFFFF" w:val="clear"/>
        </w:rPr>
        <w:t xml:space="preserve">) </w:t>
      </w:r>
      <w:r>
        <w:rPr>
          <w:rStyle w:val="Rvts3"/>
          <w:color w:val="000000"/>
          <w:sz w:val="24"/>
          <w:szCs w:val="24"/>
        </w:rPr>
        <w:t>Устава и закона</w:t>
      </w:r>
    </w:p>
    <w:p>
      <w:pPr>
        <w:pStyle w:val="Normal"/>
        <w:rPr>
          <w:rStyle w:val="Rvts3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highlight w:val="white"/>
        </w:rPr>
      </w:pPr>
      <w:r>
        <w:rPr>
          <w:color w:val="000000"/>
          <w:sz w:val="24"/>
          <w:szCs w:val="24"/>
          <w:shd w:fill="FFFFFF" w:val="clear"/>
        </w:rPr>
        <w:t>135. Уставни суд је самосталан и независан државни орган који: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а</w:t>
      </w:r>
      <w:r>
        <w:rPr>
          <w:color w:val="000000"/>
          <w:sz w:val="24"/>
          <w:szCs w:val="24"/>
          <w:shd w:fill="FFFFFF" w:val="clear"/>
        </w:rPr>
        <w:t xml:space="preserve">) штити уставност и законитост </w:t>
      </w:r>
    </w:p>
    <w:p>
      <w:pPr>
        <w:pStyle w:val="Normal"/>
        <w:rPr/>
      </w:pPr>
      <w:r>
        <w:rPr>
          <w:b/>
          <w:color w:val="000000"/>
          <w:sz w:val="24"/>
          <w:szCs w:val="24"/>
          <w:shd w:fill="FFFFFF" w:val="clear"/>
          <w:lang w:val="sr-RS"/>
        </w:rPr>
        <w:t>б</w:t>
      </w:r>
      <w:r>
        <w:rPr>
          <w:b/>
          <w:color w:val="000000"/>
          <w:sz w:val="24"/>
          <w:szCs w:val="24"/>
          <w:shd w:fill="FFFFFF" w:val="clear"/>
        </w:rPr>
        <w:t>) штити уставност и законитост и људска и мањинска права и слободе</w:t>
      </w:r>
    </w:p>
    <w:p>
      <w:pPr>
        <w:pStyle w:val="Normal"/>
        <w:rPr/>
      </w:pPr>
      <w:r>
        <w:rPr>
          <w:color w:val="000000"/>
          <w:sz w:val="24"/>
          <w:szCs w:val="24"/>
          <w:shd w:fill="FFFFFF" w:val="clear"/>
          <w:lang w:val="sr-RS"/>
        </w:rPr>
        <w:t>в</w:t>
      </w:r>
      <w:r>
        <w:rPr>
          <w:color w:val="000000"/>
          <w:sz w:val="24"/>
          <w:szCs w:val="24"/>
          <w:shd w:fill="FFFFFF" w:val="clear"/>
        </w:rPr>
        <w:t>) штити људска и мањинска права и слободе</w:t>
      </w:r>
    </w:p>
    <w:p>
      <w:pPr>
        <w:pStyle w:val="Normal"/>
        <w:rPr>
          <w:rFonts w:ascii="Verdana" w:hAnsi="Verdana"/>
          <w:color w:val="000000"/>
          <w:sz w:val="20"/>
          <w:szCs w:val="20"/>
          <w:shd w:fill="FFFFFF" w:val="clear"/>
        </w:rPr>
      </w:pPr>
      <w:r>
        <w:rPr>
          <w:rFonts w:ascii="Verdana" w:hAnsi="Verdan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shd w:fill="FFFFFF" w:val="clear"/>
        </w:rPr>
      </w:pPr>
      <w:r>
        <w:rPr>
          <w:rFonts w:ascii="Verdana" w:hAnsi="Verdana"/>
          <w:color w:val="000000"/>
          <w:sz w:val="20"/>
          <w:szCs w:val="20"/>
          <w:shd w:fill="FFFFFF" w:val="clear"/>
        </w:rPr>
      </w:r>
    </w:p>
    <w:p>
      <w:pPr>
        <w:pStyle w:val="Normal"/>
        <w:rPr>
          <w:rFonts w:ascii="Verdana" w:hAnsi="Verdana"/>
          <w:color w:val="000000"/>
          <w:sz w:val="20"/>
          <w:szCs w:val="20"/>
          <w:shd w:fill="FFFFFF" w:val="clear"/>
        </w:rPr>
      </w:pPr>
      <w:r>
        <w:rPr>
          <w:rFonts w:ascii="Verdana" w:hAnsi="Verdana"/>
          <w:color w:val="000000"/>
          <w:sz w:val="20"/>
          <w:szCs w:val="20"/>
          <w:shd w:fill="FFFFFF" w:val="clea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61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Rvts3" w:customStyle="1">
    <w:name w:val="rvts3"/>
    <w:basedOn w:val="DefaultParagraphFont"/>
    <w:uiPriority w:val="99"/>
    <w:qFormat/>
    <w:rsid w:val="00d73bfc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6">
    <w:name w:val="ListLabel 416"/>
    <w:qFormat/>
    <w:rPr>
      <w:rFonts w:cs="Times New Roman"/>
    </w:rPr>
  </w:style>
  <w:style w:type="character" w:styleId="ListLabel417">
    <w:name w:val="ListLabel 417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Times New Roman"/>
    </w:rPr>
  </w:style>
  <w:style w:type="character" w:styleId="ListLabel483">
    <w:name w:val="ListLabel 483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Times New Roman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cs="Times New Roman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</w:rPr>
  </w:style>
  <w:style w:type="character" w:styleId="ListLabel703">
    <w:name w:val="ListLabel 703"/>
    <w:qFormat/>
    <w:rPr>
      <w:rFonts w:cs="Times New Roman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cs="Times New Roman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Times New Roman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Times New Roman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cs="Times New Roman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cs="Times New Roman"/>
    </w:rPr>
  </w:style>
  <w:style w:type="character" w:styleId="ListLabel769">
    <w:name w:val="ListLabel 769"/>
    <w:qFormat/>
    <w:rPr>
      <w:rFonts w:cs="Times New Roman"/>
    </w:rPr>
  </w:style>
  <w:style w:type="character" w:styleId="ListLabel770">
    <w:name w:val="ListLabel 770"/>
    <w:qFormat/>
    <w:rPr>
      <w:rFonts w:cs="Times New Roman"/>
    </w:rPr>
  </w:style>
  <w:style w:type="character" w:styleId="ListLabel771">
    <w:name w:val="ListLabel 771"/>
    <w:qFormat/>
    <w:rPr>
      <w:rFonts w:cs="Times New Roman"/>
    </w:rPr>
  </w:style>
  <w:style w:type="character" w:styleId="ListLabel772">
    <w:name w:val="ListLabel 772"/>
    <w:qFormat/>
    <w:rPr>
      <w:rFonts w:cs="Times New Roman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</w:rPr>
  </w:style>
  <w:style w:type="character" w:styleId="ListLabel809">
    <w:name w:val="ListLabel 809"/>
    <w:qFormat/>
    <w:rPr>
      <w:rFonts w:cs="Times New Roman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Times New Roman"/>
    </w:rPr>
  </w:style>
  <w:style w:type="character" w:styleId="ListLabel812">
    <w:name w:val="ListLabel 812"/>
    <w:qFormat/>
    <w:rPr>
      <w:rFonts w:cs="Times New Roman"/>
    </w:rPr>
  </w:style>
  <w:style w:type="character" w:styleId="ListLabel813">
    <w:name w:val="ListLabel 813"/>
    <w:qFormat/>
    <w:rPr>
      <w:rFonts w:cs="Times New Roman"/>
    </w:rPr>
  </w:style>
  <w:style w:type="character" w:styleId="ListLabel814">
    <w:name w:val="ListLabel 814"/>
    <w:qFormat/>
    <w:rPr>
      <w:rFonts w:cs="Times New Roman"/>
    </w:rPr>
  </w:style>
  <w:style w:type="character" w:styleId="ListLabel815">
    <w:name w:val="ListLabel 815"/>
    <w:qFormat/>
    <w:rPr>
      <w:rFonts w:cs="Times New Roman"/>
    </w:rPr>
  </w:style>
  <w:style w:type="character" w:styleId="ListLabel816">
    <w:name w:val="ListLabel 816"/>
    <w:qFormat/>
    <w:rPr>
      <w:rFonts w:cs="Times New Roman"/>
    </w:rPr>
  </w:style>
  <w:style w:type="character" w:styleId="ListLabel817">
    <w:name w:val="ListLabel 817"/>
    <w:qFormat/>
    <w:rPr>
      <w:rFonts w:cs="Times New Roman"/>
    </w:rPr>
  </w:style>
  <w:style w:type="character" w:styleId="ListLabel818">
    <w:name w:val="ListLabel 818"/>
    <w:qFormat/>
    <w:rPr>
      <w:rFonts w:cs="Times New Roman"/>
    </w:rPr>
  </w:style>
  <w:style w:type="character" w:styleId="ListLabel819">
    <w:name w:val="ListLabel 819"/>
    <w:qFormat/>
    <w:rPr>
      <w:rFonts w:cs="Times New Roman"/>
    </w:rPr>
  </w:style>
  <w:style w:type="character" w:styleId="ListLabel820">
    <w:name w:val="ListLabel 820"/>
    <w:qFormat/>
    <w:rPr>
      <w:rFonts w:cs="Times New Roman"/>
    </w:rPr>
  </w:style>
  <w:style w:type="character" w:styleId="ListLabel821">
    <w:name w:val="ListLabel 821"/>
    <w:qFormat/>
    <w:rPr>
      <w:rFonts w:cs="Times New Roman"/>
    </w:rPr>
  </w:style>
  <w:style w:type="character" w:styleId="ListLabel822">
    <w:name w:val="ListLabel 822"/>
    <w:qFormat/>
    <w:rPr>
      <w:rFonts w:cs="Times New Roman"/>
    </w:rPr>
  </w:style>
  <w:style w:type="character" w:styleId="ListLabel823">
    <w:name w:val="ListLabel 823"/>
    <w:qFormat/>
    <w:rPr>
      <w:rFonts w:cs="Times New Roman"/>
    </w:rPr>
  </w:style>
  <w:style w:type="character" w:styleId="ListLabel824">
    <w:name w:val="ListLabel 824"/>
    <w:qFormat/>
    <w:rPr>
      <w:rFonts w:cs="Times New Roman"/>
    </w:rPr>
  </w:style>
  <w:style w:type="character" w:styleId="ListLabel825">
    <w:name w:val="ListLabel 825"/>
    <w:qFormat/>
    <w:rPr>
      <w:rFonts w:cs="Times New Roman"/>
    </w:rPr>
  </w:style>
  <w:style w:type="character" w:styleId="ListLabel826">
    <w:name w:val="ListLabel 826"/>
    <w:qFormat/>
    <w:rPr>
      <w:rFonts w:cs="Times New Roman"/>
    </w:rPr>
  </w:style>
  <w:style w:type="character" w:styleId="ListLabel827">
    <w:name w:val="ListLabel 827"/>
    <w:qFormat/>
    <w:rPr>
      <w:rFonts w:cs="Times New Roman"/>
    </w:rPr>
  </w:style>
  <w:style w:type="character" w:styleId="ListLabel828">
    <w:name w:val="ListLabel 828"/>
    <w:qFormat/>
    <w:rPr>
      <w:rFonts w:cs="Times New Roman"/>
    </w:rPr>
  </w:style>
  <w:style w:type="character" w:styleId="ListLabel829">
    <w:name w:val="ListLabel 829"/>
    <w:qFormat/>
    <w:rPr>
      <w:rFonts w:cs="Times New Roman"/>
    </w:rPr>
  </w:style>
  <w:style w:type="character" w:styleId="ListLabel830">
    <w:name w:val="ListLabel 830"/>
    <w:qFormat/>
    <w:rPr>
      <w:rFonts w:cs="Times New Roman"/>
    </w:rPr>
  </w:style>
  <w:style w:type="character" w:styleId="ListLabel831">
    <w:name w:val="ListLabel 831"/>
    <w:qFormat/>
    <w:rPr>
      <w:rFonts w:cs="Times New Roman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6">
    <w:name w:val="ListLabel 836"/>
    <w:qFormat/>
    <w:rPr>
      <w:rFonts w:cs="Times New Roman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40">
    <w:name w:val="ListLabel 840"/>
    <w:qFormat/>
    <w:rPr>
      <w:rFonts w:cs="Times New Roman"/>
    </w:rPr>
  </w:style>
  <w:style w:type="character" w:styleId="ListLabel841">
    <w:name w:val="ListLabel 841"/>
    <w:qFormat/>
    <w:rPr>
      <w:rFonts w:cs="Times New Roman"/>
    </w:rPr>
  </w:style>
  <w:style w:type="character" w:styleId="ListLabel842">
    <w:name w:val="ListLabel 842"/>
    <w:qFormat/>
    <w:rPr>
      <w:rFonts w:cs="Times New Roman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rFonts w:cs="Times New Roman"/>
    </w:rPr>
  </w:style>
  <w:style w:type="character" w:styleId="ListLabel870">
    <w:name w:val="ListLabel 870"/>
    <w:qFormat/>
    <w:rPr>
      <w:rFonts w:cs="Times New Roman"/>
    </w:rPr>
  </w:style>
  <w:style w:type="character" w:styleId="ListLabel871">
    <w:name w:val="ListLabel 871"/>
    <w:qFormat/>
    <w:rPr>
      <w:rFonts w:cs="Times New Roman"/>
    </w:rPr>
  </w:style>
  <w:style w:type="character" w:styleId="ListLabel872">
    <w:name w:val="ListLabel 872"/>
    <w:qFormat/>
    <w:rPr>
      <w:rFonts w:cs="Times New Roman"/>
    </w:rPr>
  </w:style>
  <w:style w:type="character" w:styleId="ListLabel873">
    <w:name w:val="ListLabel 873"/>
    <w:qFormat/>
    <w:rPr>
      <w:rFonts w:cs="Times New Roman"/>
    </w:rPr>
  </w:style>
  <w:style w:type="character" w:styleId="ListLabel874">
    <w:name w:val="ListLabel 874"/>
    <w:qFormat/>
    <w:rPr>
      <w:rFonts w:cs="Times New Roman"/>
    </w:rPr>
  </w:style>
  <w:style w:type="character" w:styleId="ListLabel875">
    <w:name w:val="ListLabel 875"/>
    <w:qFormat/>
    <w:rPr>
      <w:rFonts w:cs="Times New Roman"/>
    </w:rPr>
  </w:style>
  <w:style w:type="character" w:styleId="ListLabel876">
    <w:name w:val="ListLabel 876"/>
    <w:qFormat/>
    <w:rPr>
      <w:rFonts w:cs="Times New Roman"/>
    </w:rPr>
  </w:style>
  <w:style w:type="character" w:styleId="ListLabel877">
    <w:name w:val="ListLabel 877"/>
    <w:qFormat/>
    <w:rPr>
      <w:rFonts w:cs="Times New Roman"/>
    </w:rPr>
  </w:style>
  <w:style w:type="character" w:styleId="ListLabel878">
    <w:name w:val="ListLabel 878"/>
    <w:qFormat/>
    <w:rPr>
      <w:rFonts w:cs="Times New Roman"/>
    </w:rPr>
  </w:style>
  <w:style w:type="character" w:styleId="ListLabel879">
    <w:name w:val="ListLabel 879"/>
    <w:qFormat/>
    <w:rPr>
      <w:rFonts w:cs="Times New Roman"/>
    </w:rPr>
  </w:style>
  <w:style w:type="character" w:styleId="ListLabel880">
    <w:name w:val="ListLabel 880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rFonts w:cs="Times New Roman"/>
    </w:rPr>
  </w:style>
  <w:style w:type="character" w:styleId="ListLabel884">
    <w:name w:val="ListLabel 884"/>
    <w:qFormat/>
    <w:rPr>
      <w:rFonts w:cs="Times New Roman"/>
    </w:rPr>
  </w:style>
  <w:style w:type="character" w:styleId="ListLabel885">
    <w:name w:val="ListLabel 885"/>
    <w:qFormat/>
    <w:rPr>
      <w:rFonts w:cs="Times New Roman"/>
    </w:rPr>
  </w:style>
  <w:style w:type="character" w:styleId="ListLabel886">
    <w:name w:val="ListLabel 886"/>
    <w:qFormat/>
    <w:rPr>
      <w:rFonts w:cs="Times New Roman"/>
    </w:rPr>
  </w:style>
  <w:style w:type="character" w:styleId="ListLabel887">
    <w:name w:val="ListLabel 887"/>
    <w:qFormat/>
    <w:rPr>
      <w:rFonts w:cs="Times New Roman"/>
    </w:rPr>
  </w:style>
  <w:style w:type="character" w:styleId="ListLabel888">
    <w:name w:val="ListLabel 888"/>
    <w:qFormat/>
    <w:rPr>
      <w:rFonts w:cs="Times New Roman"/>
    </w:rPr>
  </w:style>
  <w:style w:type="character" w:styleId="ListLabel889">
    <w:name w:val="ListLabel 889"/>
    <w:qFormat/>
    <w:rPr>
      <w:rFonts w:cs="Times New Roman"/>
    </w:rPr>
  </w:style>
  <w:style w:type="character" w:styleId="ListLabel890">
    <w:name w:val="ListLabel 890"/>
    <w:qFormat/>
    <w:rPr>
      <w:rFonts w:cs="Times New Roman"/>
    </w:rPr>
  </w:style>
  <w:style w:type="character" w:styleId="ListLabel891">
    <w:name w:val="ListLabel 891"/>
    <w:qFormat/>
    <w:rPr>
      <w:rFonts w:cs="Times New Roman"/>
    </w:rPr>
  </w:style>
  <w:style w:type="character" w:styleId="ListLabel892">
    <w:name w:val="ListLabel 892"/>
    <w:qFormat/>
    <w:rPr>
      <w:rFonts w:cs="Times New Roman"/>
    </w:rPr>
  </w:style>
  <w:style w:type="character" w:styleId="ListLabel893">
    <w:name w:val="ListLabel 893"/>
    <w:qFormat/>
    <w:rPr>
      <w:rFonts w:cs="Times New Roman"/>
    </w:rPr>
  </w:style>
  <w:style w:type="character" w:styleId="ListLabel894">
    <w:name w:val="ListLabel 894"/>
    <w:qFormat/>
    <w:rPr>
      <w:rFonts w:cs="Times New Roman"/>
    </w:rPr>
  </w:style>
  <w:style w:type="character" w:styleId="ListLabel895">
    <w:name w:val="ListLabel 895"/>
    <w:qFormat/>
    <w:rPr>
      <w:rFonts w:cs="Times New Roman"/>
    </w:rPr>
  </w:style>
  <w:style w:type="character" w:styleId="ListLabel896">
    <w:name w:val="ListLabel 896"/>
    <w:qFormat/>
    <w:rPr>
      <w:rFonts w:cs="Times New Roman"/>
    </w:rPr>
  </w:style>
  <w:style w:type="character" w:styleId="ListLabel897">
    <w:name w:val="ListLabel 897"/>
    <w:qFormat/>
    <w:rPr>
      <w:rFonts w:cs="Times New Roman"/>
    </w:rPr>
  </w:style>
  <w:style w:type="character" w:styleId="ListLabel898">
    <w:name w:val="ListLabel 898"/>
    <w:qFormat/>
    <w:rPr>
      <w:rFonts w:cs="Times New Roman"/>
    </w:rPr>
  </w:style>
  <w:style w:type="character" w:styleId="ListLabel899">
    <w:name w:val="ListLabel 899"/>
    <w:qFormat/>
    <w:rPr>
      <w:rFonts w:cs="Times New Roman"/>
    </w:rPr>
  </w:style>
  <w:style w:type="character" w:styleId="ListLabel900">
    <w:name w:val="ListLabel 900"/>
    <w:qFormat/>
    <w:rPr>
      <w:rFonts w:cs="Times New Roman"/>
    </w:rPr>
  </w:style>
  <w:style w:type="character" w:styleId="ListLabel901">
    <w:name w:val="ListLabel 901"/>
    <w:qFormat/>
    <w:rPr>
      <w:rFonts w:cs="Times New Roman"/>
    </w:rPr>
  </w:style>
  <w:style w:type="character" w:styleId="ListLabel902">
    <w:name w:val="ListLabel 902"/>
    <w:qFormat/>
    <w:rPr>
      <w:rFonts w:cs="Times New Roman"/>
    </w:rPr>
  </w:style>
  <w:style w:type="character" w:styleId="ListLabel903">
    <w:name w:val="ListLabel 903"/>
    <w:qFormat/>
    <w:rPr>
      <w:rFonts w:cs="Times New Roman"/>
    </w:rPr>
  </w:style>
  <w:style w:type="character" w:styleId="ListLabel904">
    <w:name w:val="ListLabel 904"/>
    <w:qFormat/>
    <w:rPr>
      <w:rFonts w:cs="Times New Roman"/>
    </w:rPr>
  </w:style>
  <w:style w:type="character" w:styleId="ListLabel905">
    <w:name w:val="ListLabel 905"/>
    <w:qFormat/>
    <w:rPr>
      <w:rFonts w:cs="Times New Roman"/>
    </w:rPr>
  </w:style>
  <w:style w:type="character" w:styleId="ListLabel906">
    <w:name w:val="ListLabel 906"/>
    <w:qFormat/>
    <w:rPr>
      <w:rFonts w:cs="Times New Roman"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rFonts w:cs="Times New Roman"/>
    </w:rPr>
  </w:style>
  <w:style w:type="character" w:styleId="ListLabel909">
    <w:name w:val="ListLabel 909"/>
    <w:qFormat/>
    <w:rPr>
      <w:rFonts w:cs="Times New Roman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</w:rPr>
  </w:style>
  <w:style w:type="character" w:styleId="ListLabel937">
    <w:name w:val="ListLabel 937"/>
    <w:qFormat/>
    <w:rPr>
      <w:rFonts w:cs="Times New Roman"/>
    </w:rPr>
  </w:style>
  <w:style w:type="character" w:styleId="ListLabel938">
    <w:name w:val="ListLabel 938"/>
    <w:qFormat/>
    <w:rPr>
      <w:rFonts w:cs="Times New Roman"/>
    </w:rPr>
  </w:style>
  <w:style w:type="character" w:styleId="ListLabel939">
    <w:name w:val="ListLabel 939"/>
    <w:qFormat/>
    <w:rPr>
      <w:rFonts w:cs="Times New Roman"/>
    </w:rPr>
  </w:style>
  <w:style w:type="character" w:styleId="ListLabel940">
    <w:name w:val="ListLabel 940"/>
    <w:qFormat/>
    <w:rPr>
      <w:rFonts w:cs="Times New Roman"/>
    </w:rPr>
  </w:style>
  <w:style w:type="character" w:styleId="ListLabel941">
    <w:name w:val="ListLabel 941"/>
    <w:qFormat/>
    <w:rPr>
      <w:rFonts w:cs="Times New Roman"/>
    </w:rPr>
  </w:style>
  <w:style w:type="character" w:styleId="ListLabel942">
    <w:name w:val="ListLabel 942"/>
    <w:qFormat/>
    <w:rPr>
      <w:rFonts w:cs="Times New Roman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Times New Roman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</w:rPr>
  </w:style>
  <w:style w:type="character" w:styleId="ListLabel950">
    <w:name w:val="ListLabel 950"/>
    <w:qFormat/>
    <w:rPr>
      <w:rFonts w:cs="Times New Roman"/>
    </w:rPr>
  </w:style>
  <w:style w:type="character" w:styleId="ListLabel951">
    <w:name w:val="ListLabel 951"/>
    <w:qFormat/>
    <w:rPr>
      <w:rFonts w:cs="Times New Roman"/>
    </w:rPr>
  </w:style>
  <w:style w:type="character" w:styleId="ListLabel952">
    <w:name w:val="ListLabel 952"/>
    <w:qFormat/>
    <w:rPr>
      <w:rFonts w:cs="Times New Roman"/>
    </w:rPr>
  </w:style>
  <w:style w:type="character" w:styleId="ListLabel953">
    <w:name w:val="ListLabel 953"/>
    <w:qFormat/>
    <w:rPr>
      <w:rFonts w:cs="Times New Roman"/>
    </w:rPr>
  </w:style>
  <w:style w:type="character" w:styleId="ListLabel954">
    <w:name w:val="ListLabel 954"/>
    <w:qFormat/>
    <w:rPr>
      <w:rFonts w:cs="Times New Roman"/>
    </w:rPr>
  </w:style>
  <w:style w:type="character" w:styleId="ListLabel955">
    <w:name w:val="ListLabel 955"/>
    <w:qFormat/>
    <w:rPr>
      <w:rFonts w:cs="Times New Roman"/>
    </w:rPr>
  </w:style>
  <w:style w:type="character" w:styleId="ListLabel956">
    <w:name w:val="ListLabel 956"/>
    <w:qFormat/>
    <w:rPr>
      <w:rFonts w:cs="Times New Roman"/>
    </w:rPr>
  </w:style>
  <w:style w:type="character" w:styleId="ListLabel957">
    <w:name w:val="ListLabel 957"/>
    <w:qFormat/>
    <w:rPr>
      <w:rFonts w:cs="Times New Roman"/>
    </w:rPr>
  </w:style>
  <w:style w:type="character" w:styleId="ListLabel958">
    <w:name w:val="ListLabel 958"/>
    <w:qFormat/>
    <w:rPr>
      <w:rFonts w:cs="Times New Roman"/>
    </w:rPr>
  </w:style>
  <w:style w:type="character" w:styleId="ListLabel959">
    <w:name w:val="ListLabel 959"/>
    <w:qFormat/>
    <w:rPr>
      <w:rFonts w:cs="Times New Roman"/>
    </w:rPr>
  </w:style>
  <w:style w:type="character" w:styleId="ListLabel960">
    <w:name w:val="ListLabel 960"/>
    <w:qFormat/>
    <w:rPr>
      <w:rFonts w:cs="Times New Roman"/>
    </w:rPr>
  </w:style>
  <w:style w:type="character" w:styleId="ListLabel961">
    <w:name w:val="ListLabel 961"/>
    <w:qFormat/>
    <w:rPr>
      <w:rFonts w:cs="Times New Roman"/>
    </w:rPr>
  </w:style>
  <w:style w:type="character" w:styleId="ListLabel962">
    <w:name w:val="ListLabel 962"/>
    <w:qFormat/>
    <w:rPr>
      <w:rFonts w:cs="Times New Roman"/>
    </w:rPr>
  </w:style>
  <w:style w:type="character" w:styleId="ListLabel963">
    <w:name w:val="ListLabel 963"/>
    <w:qFormat/>
    <w:rPr>
      <w:rFonts w:cs="Times New Roman"/>
    </w:rPr>
  </w:style>
  <w:style w:type="character" w:styleId="ListLabel964">
    <w:name w:val="ListLabel 964"/>
    <w:qFormat/>
    <w:rPr>
      <w:rFonts w:cs="Times New Roman"/>
    </w:rPr>
  </w:style>
  <w:style w:type="character" w:styleId="ListLabel965">
    <w:name w:val="ListLabel 965"/>
    <w:qFormat/>
    <w:rPr>
      <w:rFonts w:cs="Times New Roman"/>
    </w:rPr>
  </w:style>
  <w:style w:type="character" w:styleId="ListLabel966">
    <w:name w:val="ListLabel 966"/>
    <w:qFormat/>
    <w:rPr>
      <w:rFonts w:cs="Times New Roman"/>
    </w:rPr>
  </w:style>
  <w:style w:type="character" w:styleId="ListLabel967">
    <w:name w:val="ListLabel 967"/>
    <w:qFormat/>
    <w:rPr>
      <w:rFonts w:cs="Times New Roman"/>
    </w:rPr>
  </w:style>
  <w:style w:type="character" w:styleId="ListLabel968">
    <w:name w:val="ListLabel 968"/>
    <w:qFormat/>
    <w:rPr>
      <w:rFonts w:cs="Times New Roman"/>
    </w:rPr>
  </w:style>
  <w:style w:type="character" w:styleId="ListLabel969">
    <w:name w:val="ListLabel 969"/>
    <w:qFormat/>
    <w:rPr>
      <w:rFonts w:cs="Times New Roman"/>
    </w:rPr>
  </w:style>
  <w:style w:type="character" w:styleId="ListLabel970">
    <w:name w:val="ListLabel 970"/>
    <w:qFormat/>
    <w:rPr>
      <w:rFonts w:cs="Times New Roman"/>
    </w:rPr>
  </w:style>
  <w:style w:type="character" w:styleId="ListLabel971">
    <w:name w:val="ListLabel 971"/>
    <w:qFormat/>
    <w:rPr>
      <w:rFonts w:cs="Times New Roman"/>
    </w:rPr>
  </w:style>
  <w:style w:type="character" w:styleId="ListLabel972">
    <w:name w:val="ListLabel 972"/>
    <w:qFormat/>
    <w:rPr>
      <w:rFonts w:cs="Times New Roman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Times New Roman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rFonts w:cs="Times New Roman"/>
    </w:rPr>
  </w:style>
  <w:style w:type="character" w:styleId="ListLabel1003">
    <w:name w:val="ListLabel 1003"/>
    <w:qFormat/>
    <w:rPr>
      <w:rFonts w:cs="Times New Roman"/>
    </w:rPr>
  </w:style>
  <w:style w:type="character" w:styleId="ListLabel1004">
    <w:name w:val="ListLabel 1004"/>
    <w:qFormat/>
    <w:rPr>
      <w:rFonts w:cs="Times New Roman"/>
    </w:rPr>
  </w:style>
  <w:style w:type="character" w:styleId="ListLabel1005">
    <w:name w:val="ListLabel 1005"/>
    <w:qFormat/>
    <w:rPr>
      <w:rFonts w:cs="Times New Roman"/>
    </w:rPr>
  </w:style>
  <w:style w:type="character" w:styleId="ListLabel1006">
    <w:name w:val="ListLabel 1006"/>
    <w:qFormat/>
    <w:rPr>
      <w:rFonts w:cs="Times New Roman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cs="Times New Roman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</w:rPr>
  </w:style>
  <w:style w:type="character" w:styleId="ListLabel1017">
    <w:name w:val="ListLabel 1017"/>
    <w:qFormat/>
    <w:rPr>
      <w:rFonts w:cs="Times New Roman"/>
    </w:rPr>
  </w:style>
  <w:style w:type="character" w:styleId="ListLabel1018">
    <w:name w:val="ListLabel 1018"/>
    <w:qFormat/>
    <w:rPr>
      <w:rFonts w:cs="Times New Roman"/>
    </w:rPr>
  </w:style>
  <w:style w:type="character" w:styleId="ListLabel1019">
    <w:name w:val="ListLabel 1019"/>
    <w:qFormat/>
    <w:rPr>
      <w:rFonts w:cs="Times New Roman"/>
    </w:rPr>
  </w:style>
  <w:style w:type="character" w:styleId="ListLabel1020">
    <w:name w:val="ListLabel 1020"/>
    <w:qFormat/>
    <w:rPr>
      <w:rFonts w:cs="Times New Roman"/>
    </w:rPr>
  </w:style>
  <w:style w:type="character" w:styleId="ListLabel1021">
    <w:name w:val="ListLabel 1021"/>
    <w:qFormat/>
    <w:rPr>
      <w:rFonts w:cs="Times New Roman"/>
    </w:rPr>
  </w:style>
  <w:style w:type="character" w:styleId="ListLabel1022">
    <w:name w:val="ListLabel 1022"/>
    <w:qFormat/>
    <w:rPr>
      <w:rFonts w:cs="Times New Roman"/>
    </w:rPr>
  </w:style>
  <w:style w:type="character" w:styleId="ListLabel1023">
    <w:name w:val="ListLabel 1023"/>
    <w:qFormat/>
    <w:rPr>
      <w:rFonts w:cs="Times New Roman"/>
    </w:rPr>
  </w:style>
  <w:style w:type="character" w:styleId="ListLabel1024">
    <w:name w:val="ListLabel 1024"/>
    <w:qFormat/>
    <w:rPr>
      <w:rFonts w:cs="Times New Roman"/>
    </w:rPr>
  </w:style>
  <w:style w:type="character" w:styleId="ListLabel1025">
    <w:name w:val="ListLabel 1025"/>
    <w:qFormat/>
    <w:rPr>
      <w:rFonts w:cs="Times New Roman"/>
    </w:rPr>
  </w:style>
  <w:style w:type="character" w:styleId="ListLabel1026">
    <w:name w:val="ListLabel 1026"/>
    <w:qFormat/>
    <w:rPr>
      <w:rFonts w:cs="Times New Roman"/>
    </w:rPr>
  </w:style>
  <w:style w:type="character" w:styleId="ListLabel1027">
    <w:name w:val="ListLabel 1027"/>
    <w:qFormat/>
    <w:rPr>
      <w:rFonts w:cs="Times New Roman"/>
    </w:rPr>
  </w:style>
  <w:style w:type="character" w:styleId="ListLabel1028">
    <w:name w:val="ListLabel 1028"/>
    <w:qFormat/>
    <w:rPr>
      <w:rFonts w:cs="Times New Roman"/>
    </w:rPr>
  </w:style>
  <w:style w:type="character" w:styleId="ListLabel1029">
    <w:name w:val="ListLabel 1029"/>
    <w:qFormat/>
    <w:rPr>
      <w:rFonts w:cs="Times New Roman"/>
    </w:rPr>
  </w:style>
  <w:style w:type="character" w:styleId="ListLabel1030">
    <w:name w:val="ListLabel 1030"/>
    <w:qFormat/>
    <w:rPr>
      <w:rFonts w:cs="Times New Roman"/>
    </w:rPr>
  </w:style>
  <w:style w:type="character" w:styleId="ListLabel1031">
    <w:name w:val="ListLabel 1031"/>
    <w:qFormat/>
    <w:rPr>
      <w:rFonts w:cs="Times New Roman"/>
    </w:rPr>
  </w:style>
  <w:style w:type="character" w:styleId="ListLabel1032">
    <w:name w:val="ListLabel 1032"/>
    <w:qFormat/>
    <w:rPr>
      <w:rFonts w:cs="Times New Roman"/>
    </w:rPr>
  </w:style>
  <w:style w:type="character" w:styleId="ListLabel1033">
    <w:name w:val="ListLabel 1033"/>
    <w:qFormat/>
    <w:rPr>
      <w:rFonts w:cs="Times New Roman"/>
    </w:rPr>
  </w:style>
  <w:style w:type="character" w:styleId="ListLabel1034">
    <w:name w:val="ListLabel 1034"/>
    <w:qFormat/>
    <w:rPr>
      <w:rFonts w:cs="Times New Roman"/>
    </w:rPr>
  </w:style>
  <w:style w:type="character" w:styleId="ListLabel1035">
    <w:name w:val="ListLabel 1035"/>
    <w:qFormat/>
    <w:rPr>
      <w:rFonts w:cs="Times New Roman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ListLabel1047">
    <w:name w:val="ListLabel 1047"/>
    <w:qFormat/>
    <w:rPr>
      <w:rFonts w:cs="Times New Roman"/>
    </w:rPr>
  </w:style>
  <w:style w:type="character" w:styleId="ListLabel1048">
    <w:name w:val="ListLabel 1048"/>
    <w:qFormat/>
    <w:rPr>
      <w:rFonts w:cs="Times New Roman"/>
    </w:rPr>
  </w:style>
  <w:style w:type="character" w:styleId="ListLabel1049">
    <w:name w:val="ListLabel 1049"/>
    <w:qFormat/>
    <w:rPr>
      <w:rFonts w:cs="Times New Roman"/>
    </w:rPr>
  </w:style>
  <w:style w:type="character" w:styleId="ListLabel1050">
    <w:name w:val="ListLabel 1050"/>
    <w:qFormat/>
    <w:rPr>
      <w:rFonts w:cs="Times New Roman"/>
    </w:rPr>
  </w:style>
  <w:style w:type="character" w:styleId="ListLabel1051">
    <w:name w:val="ListLabel 1051"/>
    <w:qFormat/>
    <w:rPr>
      <w:rFonts w:cs="Times New Roman"/>
    </w:rPr>
  </w:style>
  <w:style w:type="character" w:styleId="ListLabel1052">
    <w:name w:val="ListLabel 1052"/>
    <w:qFormat/>
    <w:rPr>
      <w:rFonts w:cs="Times New Roman"/>
    </w:rPr>
  </w:style>
  <w:style w:type="character" w:styleId="ListLabel1053">
    <w:name w:val="ListLabel 1053"/>
    <w:qFormat/>
    <w:rPr>
      <w:rFonts w:cs="Times New Roman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</w:rPr>
  </w:style>
  <w:style w:type="character" w:styleId="ListLabel1061">
    <w:name w:val="ListLabel 1061"/>
    <w:qFormat/>
    <w:rPr>
      <w:rFonts w:cs="Times New Roman"/>
    </w:rPr>
  </w:style>
  <w:style w:type="character" w:styleId="ListLabel1062">
    <w:name w:val="ListLabel 1062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vps1" w:customStyle="1">
    <w:name w:val="rvps1"/>
    <w:basedOn w:val="Normal"/>
    <w:uiPriority w:val="99"/>
    <w:qFormat/>
    <w:rsid w:val="00d73bf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521c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Application>LibreOffice/5.2.6.2$Windows_x86 LibreOffice_project/a3100ed2409ebf1c212f5048fbe377c281438fdc</Application>
  <Pages>18</Pages>
  <Words>4949</Words>
  <Characters>27154</Characters>
  <CharactersWithSpaces>31647</CharactersWithSpaces>
  <Paragraphs>509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2019-10-17T07:25:00Z</dcterms:created>
  <dc:creator>Windows User</dc:creator>
  <dc:description/>
  <dc:language>sr-Latn-RS</dc:language>
  <cp:lastModifiedBy/>
  <dcterms:modified xsi:type="dcterms:W3CDTF">2022-06-27T15:49:54Z</dcterms:modified>
  <cp:revision>14</cp:revision>
  <dc:subject/>
  <dc:title>ЛИСТА ПИТАЊА ЗА ТЕСТИРАЊЕ ОПШТЕ ФУНКЦИОНАЛНЕ КОМПЕТЕНЦИЈЕ: ОРГАНИЗАЦИЈА И РАД ДРЖАВНИХ ОРГАНА РЕПУБЛИКЕ СРБИЈЕ (СА ТАЧНИМ ОДГОВОРИМА)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