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4"/>
        </w:rPr>
      </w:pPr>
      <w:r>
        <w:rPr>
          <w:sz w:val="24"/>
        </w:rPr>
        <w:drawing>
          <wp:anchor behindDoc="0" distT="0" distB="0" distL="114300" distR="114300" simplePos="0" locked="0" layoutInCell="1" allowOverlap="1" relativeHeight="2">
            <wp:simplePos x="0" y="0"/>
            <wp:positionH relativeFrom="column">
              <wp:posOffset>6350</wp:posOffset>
            </wp:positionH>
            <wp:positionV relativeFrom="paragraph">
              <wp:posOffset>15240</wp:posOffset>
            </wp:positionV>
            <wp:extent cx="534670" cy="81089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34670" cy="810895"/>
                    </a:xfrm>
                    <a:prstGeom prst="rect">
                      <a:avLst/>
                    </a:prstGeom>
                  </pic:spPr>
                </pic:pic>
              </a:graphicData>
            </a:graphic>
          </wp:anchor>
        </w:drawing>
      </w:r>
    </w:p>
    <w:p>
      <w:pPr>
        <w:pStyle w:val="Normal"/>
        <w:bidi w:val="0"/>
        <w:jc w:val="left"/>
        <w:rPr>
          <w:sz w:val="24"/>
        </w:rPr>
      </w:pPr>
      <w:r>
        <w:rPr>
          <w:sz w:val="24"/>
        </w:rPr>
      </w:r>
    </w:p>
    <w:p>
      <w:pPr>
        <w:pStyle w:val="Normal"/>
        <w:bidi w:val="0"/>
        <w:jc w:val="left"/>
        <w:rPr>
          <w:sz w:val="24"/>
        </w:rPr>
      </w:pPr>
      <w:r>
        <w:rPr>
          <w:sz w:val="24"/>
        </w:rPr>
      </w:r>
    </w:p>
    <w:p>
      <w:pPr>
        <w:pStyle w:val="Normal"/>
        <w:bidi w:val="0"/>
        <w:jc w:val="both"/>
        <w:rPr>
          <w:sz w:val="24"/>
        </w:rPr>
      </w:pPr>
      <w:r>
        <w:rPr>
          <w:sz w:val="24"/>
        </w:rPr>
      </w:r>
    </w:p>
    <w:p>
      <w:pPr>
        <w:pStyle w:val="Normal"/>
        <w:bidi w:val="0"/>
        <w:jc w:val="both"/>
        <w:rPr>
          <w:b/>
          <w:b/>
          <w:sz w:val="24"/>
        </w:rPr>
      </w:pPr>
      <w:r>
        <w:rPr>
          <w:b/>
          <w:sz w:val="24"/>
        </w:rPr>
      </w:r>
    </w:p>
    <w:p>
      <w:pPr>
        <w:pStyle w:val="Normal"/>
        <w:bidi w:val="0"/>
        <w:jc w:val="both"/>
        <w:rPr>
          <w:b/>
          <w:b/>
          <w:sz w:val="24"/>
        </w:rPr>
      </w:pPr>
      <w:r>
        <w:rPr>
          <w:b/>
          <w:sz w:val="24"/>
        </w:rPr>
        <w:t>РЕПУБЛИКА СРБИЈА</w:t>
      </w:r>
    </w:p>
    <w:p>
      <w:pPr>
        <w:pStyle w:val="Normal"/>
        <w:bidi w:val="0"/>
        <w:jc w:val="both"/>
        <w:rPr>
          <w:b/>
          <w:b/>
          <w:sz w:val="24"/>
        </w:rPr>
      </w:pPr>
      <w:r>
        <w:rPr>
          <w:b/>
          <w:sz w:val="24"/>
        </w:rPr>
        <w:t>ОСНОВНО ЈАВНО ТУЖИЛАШТВО</w:t>
      </w:r>
    </w:p>
    <w:p>
      <w:pPr>
        <w:pStyle w:val="Normal"/>
        <w:bidi w:val="0"/>
        <w:jc w:val="both"/>
        <w:rPr>
          <w:b/>
          <w:b/>
          <w:sz w:val="24"/>
        </w:rPr>
      </w:pPr>
      <w:r>
        <w:rPr>
          <w:b/>
          <w:sz w:val="24"/>
        </w:rPr>
        <w:t>А бр. 1</w:t>
      </w:r>
      <w:r>
        <w:rPr>
          <w:b/>
          <w:sz w:val="24"/>
          <w:lang w:val="sr-RS"/>
        </w:rPr>
        <w:t>01</w:t>
      </w:r>
      <w:r>
        <w:rPr>
          <w:b/>
          <w:sz w:val="24"/>
        </w:rPr>
        <w:t>/</w:t>
      </w:r>
      <w:r>
        <w:rPr>
          <w:b/>
          <w:sz w:val="24"/>
          <w:lang w:val="sr-RS"/>
        </w:rPr>
        <w:t>20</w:t>
      </w:r>
    </w:p>
    <w:p>
      <w:pPr>
        <w:pStyle w:val="Normal"/>
        <w:bidi w:val="0"/>
        <w:jc w:val="both"/>
        <w:rPr>
          <w:b/>
          <w:b/>
          <w:sz w:val="24"/>
        </w:rPr>
      </w:pPr>
      <w:r>
        <w:rPr>
          <w:b/>
          <w:sz w:val="24"/>
        </w:rPr>
        <w:t>03.</w:t>
      </w:r>
      <w:r>
        <w:rPr>
          <w:b/>
          <w:sz w:val="24"/>
          <w:lang w:val="sr-Latn-RS"/>
        </w:rPr>
        <w:t>06</w:t>
      </w:r>
      <w:r>
        <w:rPr>
          <w:b/>
          <w:sz w:val="24"/>
        </w:rPr>
        <w:t>.2020. године</w:t>
      </w:r>
    </w:p>
    <w:p>
      <w:pPr>
        <w:pStyle w:val="Normal"/>
        <w:bidi w:val="0"/>
        <w:jc w:val="both"/>
        <w:rPr>
          <w:b/>
          <w:b/>
          <w:sz w:val="24"/>
        </w:rPr>
      </w:pPr>
      <w:r>
        <w:rPr>
          <w:b/>
          <w:sz w:val="24"/>
        </w:rPr>
        <w:t>Куршумлија</w:t>
      </w:r>
    </w:p>
    <w:p>
      <w:pPr>
        <w:pStyle w:val="Normal"/>
        <w:bidi w:val="0"/>
        <w:jc w:val="both"/>
        <w:rPr>
          <w:b/>
          <w:b/>
          <w:sz w:val="24"/>
        </w:rPr>
      </w:pPr>
      <w:r>
        <w:rPr>
          <w:b/>
          <w:sz w:val="24"/>
        </w:rPr>
        <w:t>РМ/</w:t>
      </w:r>
      <w:r>
        <w:rPr>
          <w:rFonts w:eastAsia="宋体" w:cs="" w:cstheme="minorBidi" w:eastAsiaTheme="minorEastAsia"/>
          <w:b/>
          <w:color w:val="000000"/>
          <w:position w:val="0"/>
          <w:sz w:val="24"/>
          <w:sz w:val="24"/>
          <w:u w:val="none"/>
          <w:shd w:fill="auto" w:val="clear"/>
          <w:vertAlign w:val="baseline"/>
        </w:rPr>
        <w:t>JM</w:t>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sz w:val="24"/>
        </w:rPr>
      </w:pPr>
      <w:r>
        <w:rPr>
          <w:sz w:val="24"/>
        </w:rPr>
      </w:r>
    </w:p>
    <w:p>
      <w:pPr>
        <w:pStyle w:val="Normal"/>
        <w:bidi w:val="0"/>
        <w:spacing w:lineRule="auto" w:line="360"/>
        <w:jc w:val="center"/>
        <w:rPr>
          <w:b/>
          <w:b/>
          <w:sz w:val="40"/>
          <w:szCs w:val="40"/>
        </w:rPr>
      </w:pPr>
      <w:r>
        <w:rPr>
          <w:b/>
          <w:sz w:val="40"/>
          <w:szCs w:val="40"/>
        </w:rPr>
        <w:t>ИНФОРМАТОР О РАДУ</w:t>
      </w:r>
    </w:p>
    <w:p>
      <w:pPr>
        <w:pStyle w:val="Normal"/>
        <w:bidi w:val="0"/>
        <w:spacing w:lineRule="auto" w:line="360"/>
        <w:jc w:val="center"/>
        <w:rPr>
          <w:b/>
          <w:b/>
          <w:sz w:val="40"/>
          <w:szCs w:val="40"/>
        </w:rPr>
      </w:pPr>
      <w:r>
        <w:rPr>
          <w:b/>
          <w:sz w:val="40"/>
          <w:szCs w:val="40"/>
        </w:rPr>
        <w:t>ОСНОВНОГ ЈАВНОГ ТУЖИЛАШТВА</w:t>
      </w:r>
    </w:p>
    <w:p>
      <w:pPr>
        <w:pStyle w:val="Normal"/>
        <w:bidi w:val="0"/>
        <w:spacing w:lineRule="auto" w:line="360"/>
        <w:jc w:val="center"/>
        <w:rPr>
          <w:b/>
          <w:b/>
          <w:sz w:val="40"/>
          <w:szCs w:val="40"/>
        </w:rPr>
      </w:pPr>
      <w:r>
        <w:rPr>
          <w:b/>
          <w:sz w:val="40"/>
          <w:szCs w:val="40"/>
        </w:rPr>
        <w:t>У КУРШУМЛИЈИ</w:t>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28"/>
          <w:szCs w:val="28"/>
        </w:rPr>
      </w:pPr>
      <w:r>
        <w:rPr>
          <w:b/>
          <w:sz w:val="28"/>
          <w:szCs w:val="28"/>
        </w:rPr>
        <w:t xml:space="preserve">У Куршумлији, </w:t>
      </w:r>
      <w:r>
        <w:rPr>
          <w:b/>
          <w:sz w:val="28"/>
          <w:szCs w:val="28"/>
          <w:lang w:val="sr-RS"/>
        </w:rPr>
        <w:t xml:space="preserve">дана </w:t>
      </w:r>
      <w:r>
        <w:rPr>
          <w:b/>
          <w:sz w:val="28"/>
          <w:szCs w:val="28"/>
          <w:lang w:val="sr-Latn-RS"/>
        </w:rPr>
        <w:t>03</w:t>
      </w:r>
      <w:r>
        <w:rPr>
          <w:b/>
          <w:sz w:val="28"/>
          <w:szCs w:val="28"/>
        </w:rPr>
        <w:t>.</w:t>
      </w:r>
      <w:r>
        <w:rPr>
          <w:b/>
          <w:sz w:val="28"/>
          <w:szCs w:val="28"/>
          <w:lang w:val="sr-Latn-RS"/>
        </w:rPr>
        <w:t>06</w:t>
      </w:r>
      <w:r>
        <w:rPr>
          <w:b/>
          <w:sz w:val="28"/>
          <w:szCs w:val="28"/>
        </w:rPr>
        <w:t>.2020. године</w:t>
      </w:r>
    </w:p>
    <w:p>
      <w:pPr>
        <w:pStyle w:val="Normal"/>
        <w:bidi w:val="0"/>
        <w:jc w:val="center"/>
        <w:rPr>
          <w:sz w:val="24"/>
        </w:rPr>
      </w:pPr>
      <w:r>
        <w:rPr>
          <w:sz w:val="24"/>
        </w:rPr>
      </w:r>
    </w:p>
    <w:p>
      <w:pPr>
        <w:pStyle w:val="Normal"/>
        <w:bidi w:val="0"/>
        <w:jc w:val="center"/>
        <w:rPr>
          <w:sz w:val="24"/>
        </w:rPr>
      </w:pPr>
      <w:r>
        <w:rPr>
          <w:sz w:val="24"/>
        </w:rPr>
      </w:r>
    </w:p>
    <w:p>
      <w:pPr>
        <w:pStyle w:val="Normal"/>
        <w:bidi w:val="0"/>
        <w:jc w:val="center"/>
        <w:rPr>
          <w:sz w:val="24"/>
        </w:rPr>
      </w:pPr>
      <w:r>
        <w:rPr>
          <w:sz w:val="24"/>
        </w:rPr>
      </w:r>
    </w:p>
    <w:p>
      <w:pPr>
        <w:pStyle w:val="Normal"/>
        <w:bidi w:val="0"/>
        <w:jc w:val="left"/>
        <w:rPr>
          <w:sz w:val="24"/>
        </w:rPr>
      </w:pPr>
      <w:r>
        <w:rPr>
          <w:sz w:val="24"/>
        </w:rPr>
      </w:r>
    </w:p>
    <w:p>
      <w:pPr>
        <w:pStyle w:val="Normal"/>
        <w:numPr>
          <w:ilvl w:val="0"/>
          <w:numId w:val="0"/>
        </w:numPr>
        <w:bidi w:val="0"/>
        <w:ind w:left="0" w:right="0" w:firstLine="720"/>
        <w:jc w:val="both"/>
        <w:outlineLvl w:val="4"/>
        <w:rPr>
          <w:sz w:val="24"/>
          <w:lang w:val="sr-RS"/>
        </w:rPr>
      </w:pPr>
      <w:r>
        <w:rPr>
          <w:sz w:val="24"/>
        </w:rPr>
        <w:t>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Основни јавни тужилац у Куршумлији, објављује</w:t>
      </w:r>
      <w:r>
        <w:rPr>
          <w:sz w:val="24"/>
          <w:lang w:val="sr-RS"/>
        </w:rPr>
        <w:t>:</w:t>
      </w:r>
    </w:p>
    <w:p>
      <w:pPr>
        <w:pStyle w:val="Normal"/>
        <w:bidi w:val="0"/>
        <w:jc w:val="left"/>
        <w:rPr>
          <w:b/>
          <w:b/>
          <w:sz w:val="24"/>
        </w:rPr>
      </w:pPr>
      <w:r>
        <w:rPr>
          <w:b/>
          <w:sz w:val="24"/>
        </w:rPr>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hanging="0"/>
        <w:jc w:val="center"/>
        <w:outlineLvl w:val="0"/>
        <w:rPr>
          <w:b/>
          <w:b/>
          <w:sz w:val="24"/>
        </w:rPr>
      </w:pPr>
      <w:bookmarkStart w:id="0" w:name="_Toc517172830"/>
      <w:r>
        <w:rPr>
          <w:b/>
          <w:sz w:val="24"/>
        </w:rPr>
        <w:t>ИНФОРМАТОР О РАДУ</w:t>
      </w:r>
      <w:bookmarkEnd w:id="0"/>
    </w:p>
    <w:p>
      <w:pPr>
        <w:pStyle w:val="Normal"/>
        <w:numPr>
          <w:ilvl w:val="0"/>
          <w:numId w:val="0"/>
        </w:numPr>
        <w:bidi w:val="0"/>
        <w:ind w:left="0" w:right="0" w:hanging="0"/>
        <w:jc w:val="center"/>
        <w:outlineLvl w:val="0"/>
        <w:rPr>
          <w:b/>
          <w:b/>
          <w:sz w:val="24"/>
        </w:rPr>
      </w:pPr>
      <w:bookmarkStart w:id="1" w:name="_Toc517172831"/>
      <w:r>
        <w:rPr>
          <w:b/>
          <w:sz w:val="24"/>
        </w:rPr>
        <w:t xml:space="preserve">ОСНОВНОГ ЈАВНОГ ТУЖИЛАШТВА У </w:t>
      </w:r>
      <w:bookmarkEnd w:id="1"/>
      <w:r>
        <w:rPr>
          <w:b/>
          <w:sz w:val="24"/>
        </w:rPr>
        <w:t>КУРШУМЛИЈИ</w:t>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numPr>
          <w:ilvl w:val="0"/>
          <w:numId w:val="0"/>
        </w:numPr>
        <w:bidi w:val="0"/>
        <w:ind w:left="0" w:right="0" w:hanging="0"/>
        <w:jc w:val="center"/>
        <w:outlineLvl w:val="0"/>
        <w:rPr>
          <w:b/>
          <w:b/>
          <w:color w:val="000000"/>
          <w:sz w:val="24"/>
        </w:rPr>
      </w:pPr>
      <w:bookmarkStart w:id="2" w:name="_Toc517172832"/>
      <w:r>
        <w:rPr>
          <w:b/>
          <w:color w:val="000000"/>
          <w:sz w:val="24"/>
        </w:rPr>
        <w:t>I  -  ОСНОВНИ ПОДАЦИ О ДРЖАВНОМ ОРГАНУ И ИНФОРМАТОРУ</w:t>
      </w:r>
      <w:bookmarkEnd w:id="2"/>
    </w:p>
    <w:p>
      <w:pPr>
        <w:pStyle w:val="Normal"/>
        <w:bidi w:val="0"/>
        <w:jc w:val="both"/>
        <w:rPr>
          <w:b/>
          <w:b/>
          <w:color w:val="000000"/>
          <w:sz w:val="24"/>
        </w:rPr>
      </w:pPr>
      <w:r>
        <w:rPr>
          <w:b/>
          <w:color w:val="000000"/>
          <w:sz w:val="24"/>
        </w:rPr>
      </w:r>
    </w:p>
    <w:p>
      <w:pPr>
        <w:pStyle w:val="Normal"/>
        <w:bidi w:val="0"/>
        <w:jc w:val="both"/>
        <w:rPr>
          <w:b/>
          <w:b/>
          <w:color w:val="000000"/>
          <w:sz w:val="24"/>
        </w:rPr>
      </w:pPr>
      <w:r>
        <w:rPr>
          <w:b/>
          <w:color w:val="000000"/>
          <w:sz w:val="24"/>
        </w:rPr>
      </w:r>
    </w:p>
    <w:p>
      <w:pPr>
        <w:pStyle w:val="Normal"/>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Матични број: 17865854</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Телефон: 027/ 381-047</w:t>
      </w:r>
    </w:p>
    <w:p>
      <w:pPr>
        <w:pStyle w:val="Normal"/>
        <w:numPr>
          <w:ilvl w:val="0"/>
          <w:numId w:val="0"/>
        </w:numPr>
        <w:bidi w:val="0"/>
        <w:ind w:left="0" w:right="0" w:firstLine="720"/>
        <w:jc w:val="both"/>
        <w:outlineLvl w:val="4"/>
        <w:rPr>
          <w:color w:val="000000"/>
          <w:sz w:val="24"/>
        </w:rPr>
      </w:pPr>
      <w:r>
        <w:rPr>
          <w:color w:val="000000"/>
          <w:sz w:val="24"/>
        </w:rPr>
        <w:t xml:space="preserve">                 </w:t>
      </w:r>
      <w:r>
        <w:rPr>
          <w:color w:val="000000"/>
          <w:sz w:val="24"/>
        </w:rPr>
        <w:t>027/ 389-016</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firstLine="360"/>
        <w:jc w:val="both"/>
        <w:outlineLvl w:val="4"/>
        <w:rPr>
          <w:color w:val="000000"/>
          <w:sz w:val="24"/>
        </w:rPr>
      </w:pPr>
      <w:r>
        <w:rPr>
          <w:color w:val="000000"/>
          <w:sz w:val="24"/>
        </w:rPr>
        <w:t xml:space="preserve">       </w:t>
      </w:r>
      <w:r>
        <w:rPr>
          <w:color w:val="000000"/>
          <w:sz w:val="24"/>
        </w:rPr>
        <w:t>Факс: 027/ 381-047</w:t>
      </w:r>
    </w:p>
    <w:p>
      <w:pPr>
        <w:pStyle w:val="Normal"/>
        <w:numPr>
          <w:ilvl w:val="0"/>
          <w:numId w:val="0"/>
        </w:numPr>
        <w:bidi w:val="0"/>
        <w:ind w:left="0" w:right="0" w:firstLine="360"/>
        <w:jc w:val="both"/>
        <w:outlineLvl w:val="4"/>
        <w:rPr>
          <w:color w:val="000000"/>
          <w:sz w:val="24"/>
        </w:rPr>
      </w:pPr>
      <w:r>
        <w:rPr>
          <w:color w:val="000000"/>
          <w:sz w:val="24"/>
        </w:rPr>
      </w:r>
    </w:p>
    <w:p>
      <w:pPr>
        <w:pStyle w:val="Normal"/>
        <w:numPr>
          <w:ilvl w:val="0"/>
          <w:numId w:val="0"/>
        </w:numPr>
        <w:bidi w:val="0"/>
        <w:ind w:left="0" w:right="0" w:firstLine="360"/>
        <w:jc w:val="both"/>
        <w:outlineLvl w:val="4"/>
        <w:rPr>
          <w:color w:val="000000"/>
          <w:sz w:val="24"/>
        </w:rPr>
      </w:pPr>
      <w:r>
        <w:rPr>
          <w:color w:val="000000"/>
          <w:sz w:val="24"/>
        </w:rPr>
        <w:tab/>
        <w:t>Адреса електронске поште: ojtkursumlija1@gmail.com</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Лице које је одговорно за тачност и потпуност података које садржи овај Информатор је Основни јавни тужилац у Куршумлији, Ранко Максимовић. </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Информатор о раду Основног јавног тужилаштва у Куршумлији последњи пут је објављен за </w:t>
      </w:r>
      <w:r>
        <w:rPr>
          <w:color w:val="000000"/>
          <w:sz w:val="24"/>
          <w:lang w:val="sr-RS"/>
        </w:rPr>
        <w:t>2018.</w:t>
      </w:r>
      <w:r>
        <w:rPr>
          <w:color w:val="000000"/>
          <w:sz w:val="24"/>
        </w:rPr>
        <w:t xml:space="preserve"> годину дана </w:t>
      </w:r>
      <w:r>
        <w:rPr>
          <w:color w:val="000000"/>
          <w:sz w:val="24"/>
          <w:lang w:val="sr-Latn-RS"/>
        </w:rPr>
        <w:t>08</w:t>
      </w:r>
      <w:r>
        <w:rPr>
          <w:color w:val="000000"/>
          <w:sz w:val="24"/>
        </w:rPr>
        <w:t>.0</w:t>
      </w:r>
      <w:r>
        <w:rPr>
          <w:color w:val="000000"/>
          <w:sz w:val="24"/>
          <w:lang w:val="sr-RS"/>
        </w:rPr>
        <w:t>7</w:t>
      </w:r>
      <w:r>
        <w:rPr>
          <w:color w:val="000000"/>
          <w:sz w:val="24"/>
        </w:rPr>
        <w:t xml:space="preserve">.2019. године. </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Овај информатор се налази на сајту </w:t>
      </w:r>
      <w:r>
        <w:rPr>
          <w:rFonts w:eastAsia="宋体" w:cs=""/>
          <w:color w:val="000000"/>
          <w:position w:val="0"/>
          <w:sz w:val="24"/>
          <w:sz w:val="24"/>
          <w:u w:val="none"/>
          <w:vertAlign w:val="baseline"/>
          <w:lang w:val="sr-RS"/>
        </w:rPr>
        <w:t>Основног</w:t>
      </w:r>
      <w:r>
        <w:rPr>
          <w:color w:val="000000"/>
          <w:sz w:val="24"/>
        </w:rPr>
        <w:t xml:space="preserve"> јавног тужилаштва у </w:t>
      </w:r>
      <w:r>
        <w:rPr>
          <w:rFonts w:eastAsia="宋体" w:cs=""/>
          <w:color w:val="000000"/>
          <w:position w:val="0"/>
          <w:sz w:val="24"/>
          <w:sz w:val="24"/>
          <w:u w:val="none"/>
          <w:vertAlign w:val="baseline"/>
          <w:lang w:val="sr-RS"/>
        </w:rPr>
        <w:t>Куршумлији</w:t>
      </w:r>
      <w:r>
        <w:rPr>
          <w:color w:val="000000"/>
          <w:sz w:val="24"/>
        </w:rPr>
        <w:t xml:space="preserve"> https://ku.os.jt.rs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Куршумлији</w:t>
      </w:r>
      <w:r>
        <w:rPr>
          <w:sz w:val="24"/>
        </w:rPr>
        <w:t xml:space="preserve">, ул.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357"/>
        <w:jc w:val="center"/>
        <w:outlineLvl w:val="0"/>
        <w:rPr>
          <w:b/>
          <w:b/>
          <w:color w:val="000000"/>
          <w:sz w:val="24"/>
        </w:rPr>
      </w:pPr>
      <w:bookmarkStart w:id="3" w:name="_Toc517172833"/>
      <w:r>
        <w:rPr>
          <w:b/>
          <w:color w:val="000000"/>
          <w:sz w:val="24"/>
        </w:rPr>
        <w:t>II  -  ОРГАНИЗАЦИОНА СТРУКТУРА</w:t>
      </w:r>
      <w:bookmarkEnd w:id="3"/>
    </w:p>
    <w:p>
      <w:pPr>
        <w:pStyle w:val="Normal"/>
        <w:bidi w:val="0"/>
        <w:jc w:val="left"/>
        <w:rPr>
          <w:b/>
          <w:b/>
          <w:color w:val="000000"/>
          <w:sz w:val="24"/>
        </w:rPr>
      </w:pPr>
      <w:r>
        <w:rPr>
          <w:b/>
          <w:color w:val="000000"/>
          <w:sz w:val="24"/>
        </w:rPr>
      </w:r>
    </w:p>
    <w:p>
      <w:pPr>
        <w:pStyle w:val="Normal"/>
        <w:bidi w:val="0"/>
        <w:jc w:val="left"/>
        <w:rPr>
          <w:b/>
          <w:b/>
          <w:color w:val="000000"/>
          <w:sz w:val="24"/>
        </w:rPr>
      </w:pPr>
      <w:r>
        <w:rPr>
          <w:b/>
          <w:color w:val="000000"/>
          <w:sz w:val="24"/>
        </w:rPr>
      </w:r>
    </w:p>
    <w:p>
      <w:pPr>
        <w:pStyle w:val="Normal"/>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4 радна места са </w:t>
      </w:r>
      <w:r>
        <w:rPr>
          <w:sz w:val="24"/>
          <w:lang w:val="sr-RS"/>
        </w:rPr>
        <w:t>4</w:t>
      </w:r>
      <w:r>
        <w:rPr>
          <w:sz w:val="24"/>
        </w:rPr>
        <w:t xml:space="preserve"> запослен</w:t>
      </w:r>
      <w:r>
        <w:rPr>
          <w:sz w:val="24"/>
          <w:lang w:val="sr-RS"/>
        </w:rPr>
        <w:t>а</w:t>
      </w:r>
      <w:r>
        <w:rPr>
          <w:sz w:val="24"/>
        </w:rPr>
        <w:t xml:space="preserve"> од којих је </w:t>
      </w:r>
      <w:r>
        <w:rPr>
          <w:sz w:val="24"/>
          <w:lang w:val="sr-RS"/>
        </w:rPr>
        <w:t>дв</w:t>
      </w:r>
      <w:r>
        <w:rPr>
          <w:sz w:val="24"/>
        </w:rPr>
        <w:t>оје на неодређено а</w:t>
      </w:r>
      <w:r>
        <w:rPr>
          <w:sz w:val="24"/>
          <w:lang w:val="sr-RS"/>
        </w:rPr>
        <w:t xml:space="preserve"> двоје </w:t>
      </w:r>
      <w:r>
        <w:rPr>
          <w:sz w:val="24"/>
        </w:rPr>
        <w:t xml:space="preserve">на одређено </w:t>
      </w:r>
      <w:r>
        <w:rPr>
          <w:sz w:val="24"/>
          <w:lang w:val="sr-RS"/>
        </w:rPr>
        <w:t>време</w:t>
      </w:r>
      <w:r>
        <w:rPr>
          <w:sz w:val="24"/>
        </w:rPr>
        <w:t>.</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Јавнотужилачку функцију у Основном јавном тужилаштву у </w:t>
      </w:r>
      <w:r>
        <w:rPr>
          <w:color w:val="000000"/>
          <w:sz w:val="24"/>
        </w:rPr>
        <w:t>Куршумлији</w:t>
      </w:r>
      <w:r>
        <w:rPr>
          <w:sz w:val="24"/>
        </w:rPr>
        <w:t xml:space="preserve"> обављају Основни јавни тужилац </w:t>
      </w:r>
      <w:r>
        <w:rPr>
          <w:sz w:val="24"/>
          <w:lang w:val="sr-RS"/>
        </w:rPr>
        <w:t xml:space="preserve">Ранко Максимовић </w:t>
      </w:r>
      <w:r>
        <w:rPr>
          <w:sz w:val="24"/>
        </w:rPr>
        <w:t xml:space="preserve">и један заменик Основног јавног тужиоца </w:t>
      </w:r>
      <w:r>
        <w:rPr>
          <w:sz w:val="24"/>
          <w:lang w:val="sr-RS"/>
        </w:rPr>
        <w:t>Биљана Милосављевић</w:t>
      </w: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lang w:val="sr-RS"/>
        </w:rPr>
      </w:pPr>
      <w:r>
        <w:rPr>
          <w:sz w:val="24"/>
        </w:rPr>
        <w:t xml:space="preserve">Виши тужилачки помоћник </w:t>
      </w:r>
      <w:r>
        <w:rPr>
          <w:rFonts w:eastAsia="宋体" w:cs="" w:cstheme="minorBidi" w:eastAsiaTheme="minorEastAsia"/>
          <w:color w:val="000000"/>
          <w:position w:val="0"/>
          <w:sz w:val="24"/>
          <w:sz w:val="24"/>
          <w:u w:val="none"/>
          <w:shd w:fill="auto" w:val="clear"/>
          <w:vertAlign w:val="baseline"/>
          <w:lang w:val="sr-RS"/>
        </w:rPr>
        <w:t xml:space="preserve">Јелена Милетић </w:t>
      </w:r>
      <w:r>
        <w:rPr>
          <w:rFonts w:eastAsia="宋体" w:cs="Cambria" w:eastAsiaTheme="minorEastAsia"/>
          <w:color w:val="000000"/>
          <w:position w:val="0"/>
          <w:sz w:val="24"/>
          <w:sz w:val="24"/>
          <w:szCs w:val="24"/>
          <w:u w:val="none"/>
          <w:shd w:fill="auto" w:val="clear"/>
          <w:vertAlign w:val="baseline"/>
          <w:lang w:val="sr-RS"/>
        </w:rPr>
        <w:t>запослена на одређено време по основу повећаног обима посла</w:t>
      </w:r>
      <w:r>
        <w:rPr>
          <w:rFonts w:eastAsia="宋体" w:cs="Cambria" w:ascii="Cambria" w:hAnsi="Cambria" w:eastAsiaTheme="minorEastAsia"/>
          <w:color w:val="000000"/>
          <w:position w:val="0"/>
          <w:sz w:val="24"/>
          <w:sz w:val="24"/>
          <w:szCs w:val="24"/>
          <w:u w:val="none"/>
          <w:shd w:fill="auto" w:val="clear"/>
          <w:vertAlign w:val="baseline"/>
          <w:lang w:val="sr-RS"/>
        </w:rPr>
        <w:t xml:space="preserve"> пошто је прибављена сагласност Министарства правде - Сектора за правосуђе </w:t>
      </w:r>
      <w:r>
        <w:rPr>
          <w:sz w:val="24"/>
        </w:rPr>
        <w:t>, распоређена на радном месту самостални саветник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sr-RS"/>
        </w:rPr>
        <w:t>.</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Дактилографи Росанда Вукашиновић и Иван Ђоровић - намештеници обављају све дактилографске послове у предметима додељеним у рад јавном тужиоцу, пишу записнике, врше унос текстова по диктату и са диктафонских трака, врше препис текстова и рукописа и израђује све врсте табела у сарадњи са корисницима услуга, коригује унете податке, старају се о савременом обликовању текста, припремају и штампају завршене материјале и дистрибуирају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воде уписник за евиденцију штампаних ствари и публикација, воде евиденцију о свом раду, раде и друге послове по налогу јавног тужиоца.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pStyle w:val="Normal"/>
        <w:numPr>
          <w:ilvl w:val="0"/>
          <w:numId w:val="0"/>
        </w:numPr>
        <w:bidi w:val="0"/>
        <w:ind w:left="72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дактилограф Ђоровић Иван, с обзиром да систематизовано радно место достављача није попуњено,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t xml:space="preserve">ШЕМАТСКИ ПРИКАЗ ОРГАНИЗАЦИОНЕ СТРУКТУРЕ </w:t>
      </w:r>
    </w:p>
    <w:p>
      <w:pPr>
        <w:pStyle w:val="Normal"/>
        <w:numPr>
          <w:ilvl w:val="0"/>
          <w:numId w:val="0"/>
        </w:numPr>
        <w:bidi w:val="0"/>
        <w:ind w:left="0" w:right="0" w:hanging="0"/>
        <w:jc w:val="center"/>
        <w:outlineLvl w:val="4"/>
        <w:rPr>
          <w:sz w:val="24"/>
        </w:rPr>
      </w:pPr>
      <w:r>
        <w:rPr>
          <w:sz w:val="24"/>
        </w:rPr>
        <w:t xml:space="preserve">ОСНОВНОГ ЈАВНОГ ТУЖИЛАШТВА У </w:t>
      </w:r>
      <w:r>
        <w:rPr>
          <w:color w:val="000000"/>
          <w:sz w:val="24"/>
        </w:rPr>
        <w:t>КУРШУМЛИЈИ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3920" w:type="dxa"/>
        <w:jc w:val="left"/>
        <w:tblInd w:w="2709" w:type="dxa"/>
        <w:tblCellMar>
          <w:top w:w="0" w:type="dxa"/>
          <w:left w:w="108" w:type="dxa"/>
          <w:bottom w:w="0" w:type="dxa"/>
          <w:right w:w="108" w:type="dxa"/>
        </w:tblCellMar>
      </w:tblPr>
      <w:tblGrid>
        <w:gridCol w:w="3920"/>
      </w:tblGrid>
      <w:tr>
        <w:trPr>
          <w:trHeight w:val="814" w:hRule="atLeast"/>
        </w:trPr>
        <w:tc>
          <w:tcPr>
            <w:tcW w:w="3920" w:type="dxa"/>
            <w:tcBorders>
              <w:top w:val="double" w:sz="4" w:space="0" w:color="000000"/>
              <w:left w:val="double" w:sz="4" w:space="0" w:color="000000"/>
              <w:bottom w:val="double" w:sz="4" w:space="0" w:color="000000"/>
              <w:right w:val="double" w:sz="4" w:space="0" w:color="000000"/>
            </w:tcBorders>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ОСНОВНИ ЈАВНИ ТУЖИЛАЦ</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r>
    </w:p>
    <w:tbl>
      <w:tblPr>
        <w:tblStyle w:val="13"/>
        <w:tblW w:w="3920" w:type="dxa"/>
        <w:jc w:val="left"/>
        <w:tblInd w:w="2709" w:type="dxa"/>
        <w:tblCellMar>
          <w:top w:w="0" w:type="dxa"/>
          <w:left w:w="108" w:type="dxa"/>
          <w:bottom w:w="0" w:type="dxa"/>
          <w:right w:w="108" w:type="dxa"/>
        </w:tblCellMar>
      </w:tblPr>
      <w:tblGrid>
        <w:gridCol w:w="3920"/>
      </w:tblGrid>
      <w:tr>
        <w:trPr>
          <w:trHeight w:val="1067" w:hRule="atLeast"/>
        </w:trPr>
        <w:tc>
          <w:tcPr>
            <w:tcW w:w="3920" w:type="dxa"/>
            <w:tcBorders>
              <w:top w:val="double" w:sz="4" w:space="0" w:color="000000"/>
              <w:left w:val="double" w:sz="4" w:space="0" w:color="000000"/>
              <w:bottom w:val="double" w:sz="4" w:space="0" w:color="000000"/>
              <w:right w:val="double" w:sz="4" w:space="0" w:color="000000"/>
            </w:tcBorders>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lang w:val="sr-RS"/>
              </w:rPr>
            </w:pPr>
            <w:r>
              <w:rPr>
                <w:sz w:val="24"/>
                <w:lang w:val="sr-RS"/>
              </w:rPr>
              <w:t>ЗАМЕНИК</w:t>
            </w:r>
          </w:p>
          <w:p>
            <w:pPr>
              <w:pStyle w:val="Normal"/>
              <w:numPr>
                <w:ilvl w:val="0"/>
                <w:numId w:val="0"/>
              </w:numPr>
              <w:bidi w:val="0"/>
              <w:ind w:left="0" w:right="0" w:hanging="0"/>
              <w:jc w:val="center"/>
              <w:outlineLvl w:val="4"/>
              <w:rPr>
                <w:sz w:val="24"/>
                <w:lang w:val="sr-RS"/>
              </w:rPr>
            </w:pPr>
            <w:r>
              <w:rPr>
                <w:sz w:val="24"/>
                <w:lang w:val="sr-RS"/>
              </w:rPr>
              <w:t xml:space="preserve"> </w:t>
            </w:r>
            <w:r>
              <w:rPr>
                <w:sz w:val="24"/>
                <w:lang w:val="sr-RS"/>
              </w:rPr>
              <w:t>ОСНОВНОГ ЈАВНОГ ТУЖИОЦА</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r>
    </w:p>
    <w:tbl>
      <w:tblPr>
        <w:tblStyle w:val="13"/>
        <w:tblpPr w:vertAnchor="text" w:horzAnchor="margin" w:tblpXSpec="center" w:leftFromText="180" w:rightFromText="180" w:tblpY="45"/>
        <w:tblW w:w="6775" w:type="dxa"/>
        <w:jc w:val="center"/>
        <w:tblInd w:w="0" w:type="dxa"/>
        <w:tblCellMar>
          <w:top w:w="0" w:type="dxa"/>
          <w:left w:w="108" w:type="dxa"/>
          <w:bottom w:w="0" w:type="dxa"/>
          <w:right w:w="108" w:type="dxa"/>
        </w:tblCellMar>
      </w:tblPr>
      <w:tblGrid>
        <w:gridCol w:w="2373"/>
        <w:gridCol w:w="1988"/>
        <w:gridCol w:w="2414"/>
      </w:tblGrid>
      <w:tr>
        <w:trPr>
          <w:trHeight w:val="823" w:hRule="atLeast"/>
        </w:trPr>
        <w:tc>
          <w:tcPr>
            <w:tcW w:w="2373" w:type="dxa"/>
            <w:tcBorders>
              <w:top w:val="double" w:sz="4" w:space="0" w:color="000000"/>
              <w:left w:val="double" w:sz="4" w:space="0" w:color="000000"/>
              <w:bottom w:val="double" w:sz="4" w:space="0" w:color="000000"/>
              <w:right w:val="double" w:sz="4" w:space="0" w:color="000000"/>
            </w:tcBorders>
          </w:tcPr>
          <w:p>
            <w:pPr>
              <w:pStyle w:val="Normal"/>
              <w:numPr>
                <w:ilvl w:val="0"/>
                <w:numId w:val="0"/>
              </w:numPr>
              <w:bidi w:val="0"/>
              <w:ind w:left="141" w:right="0" w:hanging="0"/>
              <w:jc w:val="center"/>
              <w:outlineLvl w:val="4"/>
              <w:rPr>
                <w:sz w:val="24"/>
              </w:rPr>
            </w:pPr>
            <w:r>
              <w:rPr>
                <w:sz w:val="24"/>
              </w:rPr>
            </w:r>
          </w:p>
          <w:p>
            <w:pPr>
              <w:pStyle w:val="Normal"/>
              <w:numPr>
                <w:ilvl w:val="0"/>
                <w:numId w:val="0"/>
              </w:numPr>
              <w:bidi w:val="0"/>
              <w:ind w:left="141" w:right="0" w:hanging="0"/>
              <w:jc w:val="center"/>
              <w:outlineLvl w:val="4"/>
              <w:rPr>
                <w:sz w:val="24"/>
              </w:rPr>
            </w:pPr>
            <w:r>
              <w:rPr>
                <w:sz w:val="24"/>
              </w:rPr>
              <w:t>Кривично одељење</w:t>
            </w:r>
          </w:p>
          <w:p>
            <w:pPr>
              <w:pStyle w:val="Normal"/>
              <w:numPr>
                <w:ilvl w:val="0"/>
                <w:numId w:val="0"/>
              </w:numPr>
              <w:bidi w:val="0"/>
              <w:ind w:left="141" w:right="0" w:hanging="0"/>
              <w:jc w:val="center"/>
              <w:outlineLvl w:val="4"/>
              <w:rPr>
                <w:sz w:val="24"/>
              </w:rPr>
            </w:pPr>
            <w:r>
              <w:rPr>
                <w:sz w:val="24"/>
              </w:rPr>
            </w:r>
          </w:p>
        </w:tc>
        <w:tc>
          <w:tcPr>
            <w:tcW w:w="1988" w:type="dxa"/>
            <w:tcBorders>
              <w:top w:val="double" w:sz="4" w:space="0" w:color="000000"/>
              <w:left w:val="double" w:sz="4" w:space="0" w:color="000000"/>
              <w:bottom w:val="double" w:sz="4" w:space="0" w:color="000000"/>
              <w:right w:val="double" w:sz="4" w:space="0" w:color="000000"/>
            </w:tcBorders>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Писарница</w:t>
            </w:r>
          </w:p>
          <w:p>
            <w:pPr>
              <w:pStyle w:val="Normal"/>
              <w:numPr>
                <w:ilvl w:val="0"/>
                <w:numId w:val="0"/>
              </w:numPr>
              <w:bidi w:val="0"/>
              <w:ind w:left="0" w:right="0" w:hanging="0"/>
              <w:jc w:val="center"/>
              <w:outlineLvl w:val="4"/>
              <w:rPr>
                <w:sz w:val="24"/>
              </w:rPr>
            </w:pPr>
            <w:r>
              <w:rPr>
                <w:sz w:val="24"/>
              </w:rPr>
            </w:r>
          </w:p>
        </w:tc>
        <w:tc>
          <w:tcPr>
            <w:tcW w:w="2414" w:type="dxa"/>
            <w:tcBorders>
              <w:top w:val="double" w:sz="4" w:space="0" w:color="000000"/>
              <w:left w:val="double" w:sz="4" w:space="0" w:color="000000"/>
              <w:bottom w:val="double" w:sz="4" w:space="0" w:color="000000"/>
              <w:right w:val="double" w:sz="4" w:space="0" w:color="000000"/>
            </w:tcBorders>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Рачуноводство</w:t>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9286" w:type="dxa"/>
        <w:jc w:val="left"/>
        <w:tblInd w:w="0" w:type="dxa"/>
        <w:tblCellMar>
          <w:top w:w="0" w:type="dxa"/>
          <w:left w:w="108" w:type="dxa"/>
          <w:bottom w:w="0" w:type="dxa"/>
          <w:right w:w="108" w:type="dxa"/>
        </w:tblCellMar>
      </w:tblPr>
      <w:tblGrid>
        <w:gridCol w:w="2517"/>
        <w:gridCol w:w="2125"/>
        <w:gridCol w:w="2322"/>
        <w:gridCol w:w="2321"/>
      </w:tblGrid>
      <w:tr>
        <w:trPr/>
        <w:tc>
          <w:tcPr>
            <w:tcW w:w="25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Радна места</w:t>
            </w:r>
          </w:p>
        </w:tc>
        <w:tc>
          <w:tcPr>
            <w:tcW w:w="2125"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Систематизовано</w:t>
            </w:r>
          </w:p>
        </w:tc>
        <w:tc>
          <w:tcPr>
            <w:tcW w:w="23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Попуњено</w:t>
            </w:r>
          </w:p>
        </w:tc>
        <w:tc>
          <w:tcPr>
            <w:tcW w:w="2321"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sz w:val="24"/>
              </w:rPr>
            </w:pPr>
            <w:r>
              <w:rPr>
                <w:sz w:val="24"/>
              </w:rPr>
              <w:t>Запослени на одређено време због повећаног обима посла</w:t>
            </w:r>
          </w:p>
        </w:tc>
      </w:tr>
      <w:tr>
        <w:trPr>
          <w:trHeight w:val="688"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left"/>
              <w:outlineLvl w:val="4"/>
              <w:rPr>
                <w:sz w:val="24"/>
              </w:rPr>
            </w:pPr>
            <w:r>
              <w:rPr>
                <w:sz w:val="24"/>
              </w:rPr>
              <w:t>Виши тужилачки сарадник</w:t>
            </w:r>
          </w:p>
        </w:tc>
        <w:tc>
          <w:tcPr>
            <w:tcW w:w="2125"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r>
      <w:tr>
        <w:trPr>
          <w:trHeight w:val="688"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left"/>
              <w:outlineLvl w:val="4"/>
              <w:rPr>
                <w:sz w:val="24"/>
              </w:rPr>
            </w:pPr>
            <w:r>
              <w:rPr>
                <w:sz w:val="24"/>
              </w:rPr>
              <w:t xml:space="preserve">Уписничар </w:t>
            </w:r>
          </w:p>
        </w:tc>
        <w:tc>
          <w:tcPr>
            <w:tcW w:w="2125"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c>
          <w:tcPr>
            <w:tcW w:w="232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w:t>
            </w:r>
          </w:p>
        </w:tc>
      </w:tr>
      <w:tr>
        <w:trPr>
          <w:trHeight w:val="688"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left"/>
              <w:outlineLvl w:val="4"/>
              <w:rPr>
                <w:sz w:val="24"/>
              </w:rPr>
            </w:pPr>
            <w:r>
              <w:rPr>
                <w:sz w:val="24"/>
              </w:rPr>
              <w:t>Дактилограф – намештеник</w:t>
            </w:r>
          </w:p>
        </w:tc>
        <w:tc>
          <w:tcPr>
            <w:tcW w:w="2125"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c>
          <w:tcPr>
            <w:tcW w:w="232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r>
      <w:tr>
        <w:trPr>
          <w:trHeight w:val="688"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left"/>
              <w:outlineLvl w:val="4"/>
              <w:rPr>
                <w:sz w:val="24"/>
              </w:rPr>
            </w:pPr>
            <w:r>
              <w:rPr>
                <w:sz w:val="24"/>
              </w:rPr>
              <w:t>Достављач</w:t>
            </w:r>
          </w:p>
        </w:tc>
        <w:tc>
          <w:tcPr>
            <w:tcW w:w="2125"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w:t>
            </w:r>
          </w:p>
        </w:tc>
        <w:tc>
          <w:tcPr>
            <w:tcW w:w="232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w:t>
            </w:r>
          </w:p>
        </w:tc>
      </w:tr>
      <w:tr>
        <w:trPr>
          <w:trHeight w:val="688"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left"/>
              <w:outlineLvl w:val="4"/>
              <w:rPr>
                <w:sz w:val="24"/>
              </w:rPr>
            </w:pPr>
            <w:r>
              <w:rPr>
                <w:sz w:val="24"/>
              </w:rPr>
              <w:t xml:space="preserve">Укупно </w:t>
            </w:r>
          </w:p>
        </w:tc>
        <w:tc>
          <w:tcPr>
            <w:tcW w:w="2125"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4</w:t>
            </w:r>
          </w:p>
        </w:tc>
        <w:tc>
          <w:tcPr>
            <w:tcW w:w="232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lang w:val="sr-RS"/>
              </w:rPr>
            </w:pPr>
            <w:r>
              <w:rPr>
                <w:sz w:val="24"/>
                <w:lang w:val="sr-RS"/>
              </w:rPr>
              <w:t>2</w:t>
            </w:r>
          </w:p>
        </w:tc>
        <w:tc>
          <w:tcPr>
            <w:tcW w:w="232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2</w:t>
            </w:r>
          </w:p>
        </w:tc>
      </w:tr>
    </w:tbl>
    <w:p>
      <w:pPr>
        <w:pStyle w:val="Normal"/>
        <w:numPr>
          <w:ilvl w:val="0"/>
          <w:numId w:val="0"/>
        </w:numPr>
        <w:bidi w:val="0"/>
        <w:ind w:left="0" w:right="0" w:hanging="0"/>
        <w:jc w:val="center"/>
        <w:outlineLvl w:val="0"/>
        <w:rPr>
          <w:b/>
          <w:b/>
          <w:color w:val="000000"/>
          <w:sz w:val="24"/>
        </w:rPr>
      </w:pPr>
      <w:r>
        <w:rPr>
          <w:b/>
          <w:color w:val="000000"/>
          <w:sz w:val="24"/>
        </w:rPr>
      </w:r>
    </w:p>
    <w:p>
      <w:pPr>
        <w:pStyle w:val="Normal"/>
        <w:numPr>
          <w:ilvl w:val="0"/>
          <w:numId w:val="0"/>
        </w:numPr>
        <w:bidi w:val="0"/>
        <w:ind w:left="0" w:right="0" w:hanging="0"/>
        <w:jc w:val="center"/>
        <w:outlineLvl w:val="0"/>
        <w:rPr>
          <w:b/>
          <w:b/>
          <w:color w:val="000000"/>
          <w:sz w:val="24"/>
        </w:rPr>
      </w:pPr>
      <w:r>
        <w:rPr>
          <w:b/>
          <w:color w:val="000000"/>
          <w:sz w:val="24"/>
        </w:rPr>
      </w:r>
    </w:p>
    <w:p>
      <w:pPr>
        <w:pStyle w:val="Normal"/>
        <w:numPr>
          <w:ilvl w:val="0"/>
          <w:numId w:val="0"/>
        </w:numPr>
        <w:bidi w:val="0"/>
        <w:ind w:left="0" w:right="0" w:hanging="0"/>
        <w:jc w:val="center"/>
        <w:outlineLvl w:val="0"/>
        <w:rPr>
          <w:b/>
          <w:b/>
          <w:color w:val="000000"/>
          <w:sz w:val="24"/>
        </w:rPr>
      </w:pPr>
      <w:r>
        <w:rPr>
          <w:b/>
          <w:color w:val="000000"/>
          <w:sz w:val="24"/>
        </w:rPr>
        <w:t>III  -  ОПИС ФУНКЦИЈА СТАРЕШИНА</w:t>
      </w:r>
    </w:p>
    <w:p>
      <w:pPr>
        <w:pStyle w:val="Normal"/>
        <w:bidi w:val="0"/>
        <w:jc w:val="left"/>
        <w:rPr>
          <w:b/>
          <w:b/>
          <w:color w:val="000000"/>
          <w:sz w:val="24"/>
        </w:rPr>
      </w:pPr>
      <w:r>
        <w:rPr>
          <w:b/>
          <w:color w:val="000000"/>
          <w:sz w:val="24"/>
        </w:rPr>
      </w:r>
    </w:p>
    <w:p>
      <w:pPr>
        <w:pStyle w:val="Normal"/>
        <w:numPr>
          <w:ilvl w:val="0"/>
          <w:numId w:val="0"/>
        </w:numPr>
        <w:bidi w:val="0"/>
        <w:ind w:left="0" w:right="0" w:firstLine="720"/>
        <w:jc w:val="both"/>
        <w:outlineLvl w:val="4"/>
        <w:rPr>
          <w:b/>
          <w:b/>
          <w:color w:val="000000"/>
          <w:sz w:val="24"/>
        </w:rPr>
      </w:pPr>
      <w:r>
        <w:rPr>
          <w:sz w:val="24"/>
        </w:rPr>
        <w:t xml:space="preserve">Јавни тужилац је носилац управе у јавном тужилаштву и одговоран за правилан и благовремен рад јавног тужилаштва. 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pStyle w:val="Normal"/>
        <w:numPr>
          <w:ilvl w:val="0"/>
          <w:numId w:val="0"/>
        </w:numPr>
        <w:bidi w:val="0"/>
        <w:ind w:left="0" w:right="0" w:firstLine="720"/>
        <w:jc w:val="both"/>
        <w:outlineLvl w:val="4"/>
        <w:rPr>
          <w:b/>
          <w:b/>
          <w:color w:val="000000"/>
          <w:sz w:val="24"/>
        </w:rPr>
      </w:pPr>
      <w:r>
        <w:rPr>
          <w:b/>
          <w:color w:val="000000"/>
          <w:sz w:val="24"/>
        </w:rPr>
      </w:r>
    </w:p>
    <w:p>
      <w:pPr>
        <w:pStyle w:val="Normal"/>
        <w:numPr>
          <w:ilvl w:val="0"/>
          <w:numId w:val="0"/>
        </w:numPr>
        <w:bidi w:val="0"/>
        <w:ind w:left="0" w:right="0" w:hanging="0"/>
        <w:jc w:val="center"/>
        <w:outlineLvl w:val="0"/>
        <w:rPr>
          <w:color w:val="000000"/>
          <w:sz w:val="24"/>
        </w:rPr>
      </w:pPr>
      <w:bookmarkStart w:id="4" w:name="_Toc517172835"/>
      <w:r>
        <w:rPr>
          <w:b/>
          <w:color w:val="000000"/>
          <w:sz w:val="24"/>
        </w:rPr>
        <w:t>IV  -  ОПИС ПРАВИЛА У ВЕЗИ СА ЈАВНОШЋУ РАДА</w:t>
      </w:r>
      <w:bookmarkEnd w:id="4"/>
    </w:p>
    <w:p>
      <w:pPr>
        <w:pStyle w:val="Normal"/>
        <w:bidi w:val="0"/>
        <w:jc w:val="left"/>
        <w:rPr>
          <w:color w:val="000000"/>
          <w:sz w:val="24"/>
        </w:rPr>
      </w:pPr>
      <w:r>
        <w:rPr>
          <w:color w:val="000000"/>
          <w:sz w:val="24"/>
        </w:rPr>
      </w:r>
    </w:p>
    <w:p>
      <w:pPr>
        <w:pStyle w:val="Normal"/>
        <w:bidi w:val="0"/>
        <w:jc w:val="left"/>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pStyle w:val="Normal"/>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Обавештавање јавности врши јавни тужилац, лице задужено за спровођење спољне комуникације у Основном јавном тужилаштву у Куршумлији. Јавни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hanging="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pStyle w:val="Normal"/>
        <w:numPr>
          <w:ilvl w:val="0"/>
          <w:numId w:val="0"/>
        </w:numPr>
        <w:bidi w:val="0"/>
        <w:ind w:left="0" w:right="0" w:hanging="0"/>
        <w:jc w:val="both"/>
        <w:outlineLvl w:val="4"/>
        <w:rPr>
          <w:sz w:val="24"/>
        </w:rPr>
      </w:pPr>
      <w:r>
        <w:rPr>
          <w:sz w:val="24"/>
        </w:rPr>
        <w:t xml:space="preserve">2. Радно време: од 7,30 до 15,30 часова; </w:t>
      </w:r>
    </w:p>
    <w:p>
      <w:pPr>
        <w:pStyle w:val="Normal"/>
        <w:numPr>
          <w:ilvl w:val="0"/>
          <w:numId w:val="0"/>
        </w:numPr>
        <w:bidi w:val="0"/>
        <w:ind w:left="0" w:right="0" w:hanging="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оjtkursumlija1@gmail.com, 027/381-047, факс: 027/389-016; </w:t>
      </w:r>
    </w:p>
    <w:p>
      <w:pPr>
        <w:pStyle w:val="Normal"/>
        <w:numPr>
          <w:ilvl w:val="0"/>
          <w:numId w:val="0"/>
        </w:numPr>
        <w:bidi w:val="0"/>
        <w:ind w:left="0" w:right="0" w:hanging="0"/>
        <w:jc w:val="both"/>
        <w:outlineLvl w:val="4"/>
        <w:rPr>
          <w:sz w:val="24"/>
        </w:rPr>
      </w:pPr>
      <w:r>
        <w:rPr>
          <w:sz w:val="24"/>
        </w:rPr>
        <w:t xml:space="preserve">4. Контакт подаци лица која су овлашћена за сарадњу са новинарима и јавним гласилима: Основни јавни тужилац Ранко Максимовић и </w:t>
      </w:r>
      <w:r>
        <w:rPr>
          <w:sz w:val="24"/>
          <w:lang w:val="sr-RS"/>
        </w:rPr>
        <w:t>Заменик јавног тужиоца</w:t>
      </w:r>
      <w:r>
        <w:rPr>
          <w:sz w:val="24"/>
        </w:rPr>
        <w:t xml:space="preserve"> Биљана Милосављвић; </w:t>
      </w:r>
    </w:p>
    <w:p>
      <w:pPr>
        <w:pStyle w:val="Normal"/>
        <w:numPr>
          <w:ilvl w:val="0"/>
          <w:numId w:val="0"/>
        </w:numPr>
        <w:bidi w:val="0"/>
        <w:ind w:left="0" w:right="0" w:hanging="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pStyle w:val="Normal"/>
        <w:numPr>
          <w:ilvl w:val="0"/>
          <w:numId w:val="0"/>
        </w:numPr>
        <w:bidi w:val="0"/>
        <w:ind w:left="0" w:right="0" w:hanging="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pStyle w:val="Normal"/>
        <w:numPr>
          <w:ilvl w:val="0"/>
          <w:numId w:val="0"/>
        </w:numPr>
        <w:bidi w:val="0"/>
        <w:ind w:left="0" w:right="0" w:hanging="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pStyle w:val="Normal"/>
        <w:numPr>
          <w:ilvl w:val="0"/>
          <w:numId w:val="0"/>
        </w:numPr>
        <w:bidi w:val="0"/>
        <w:ind w:left="0" w:right="0" w:hanging="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center"/>
        <w:outlineLvl w:val="0"/>
        <w:rPr>
          <w:b/>
          <w:b/>
          <w:color w:val="000000"/>
          <w:sz w:val="24"/>
        </w:rPr>
      </w:pPr>
      <w:bookmarkStart w:id="5" w:name="_Toc517172836"/>
      <w:r>
        <w:rPr>
          <w:b/>
          <w:color w:val="000000"/>
          <w:sz w:val="24"/>
        </w:rPr>
        <w:t xml:space="preserve">V  -  </w:t>
      </w:r>
      <w:r>
        <w:rPr>
          <w:b/>
          <w:sz w:val="24"/>
        </w:rPr>
        <w:t>СПИСАК НАЈЧЕШЋЕ ТРАЖЕНИХ ИНФОРМАЦИЈА ОД ЈАВНОГ ЗНАЧАЈА</w:t>
      </w:r>
      <w:bookmarkEnd w:id="5"/>
    </w:p>
    <w:p>
      <w:pPr>
        <w:pStyle w:val="Normal"/>
        <w:tabs>
          <w:tab w:val="clear" w:pos="720"/>
          <w:tab w:val="left" w:pos="240" w:leader="none"/>
        </w:tabs>
        <w:bidi w:val="0"/>
        <w:jc w:val="left"/>
        <w:rPr>
          <w:b/>
          <w:b/>
          <w:color w:val="000000"/>
          <w:sz w:val="24"/>
        </w:rPr>
      </w:pPr>
      <w:r>
        <w:rPr>
          <w:b/>
          <w:color w:val="000000"/>
          <w:sz w:val="24"/>
        </w:rPr>
        <w:tab/>
      </w:r>
    </w:p>
    <w:p>
      <w:pPr>
        <w:pStyle w:val="Normal"/>
        <w:tabs>
          <w:tab w:val="clear" w:pos="720"/>
          <w:tab w:val="left" w:pos="240" w:leader="none"/>
        </w:tabs>
        <w:bidi w:val="0"/>
        <w:jc w:val="left"/>
        <w:rPr>
          <w:b/>
          <w:b/>
          <w:color w:val="000000"/>
          <w:sz w:val="24"/>
        </w:rPr>
      </w:pPr>
      <w:r>
        <w:rPr>
          <w:b/>
          <w:color w:val="000000"/>
          <w:sz w:val="24"/>
        </w:rPr>
      </w:r>
    </w:p>
    <w:p>
      <w:pPr>
        <w:pStyle w:val="Normal"/>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pStyle w:val="Normal"/>
        <w:numPr>
          <w:ilvl w:val="0"/>
          <w:numId w:val="0"/>
        </w:numPr>
        <w:bidi w:val="0"/>
        <w:ind w:left="0" w:right="0" w:firstLine="720"/>
        <w:jc w:val="both"/>
        <w:outlineLvl w:val="4"/>
        <w:rPr>
          <w:sz w:val="24"/>
        </w:rPr>
      </w:pPr>
      <w:r>
        <w:rPr>
          <w:sz w:val="24"/>
        </w:rPr>
      </w:r>
    </w:p>
    <w:p>
      <w:pPr>
        <w:pStyle w:val="Normal"/>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pStyle w:val="Normal"/>
        <w:numPr>
          <w:ilvl w:val="0"/>
          <w:numId w:val="0"/>
        </w:numPr>
        <w:bidi w:val="0"/>
        <w:ind w:left="0" w:right="0" w:firstLine="720"/>
        <w:jc w:val="both"/>
        <w:outlineLvl w:val="4"/>
        <w:rPr>
          <w:sz w:val="24"/>
        </w:rPr>
      </w:pPr>
      <w:r>
        <w:rPr>
          <w:sz w:val="24"/>
        </w:rPr>
      </w:r>
    </w:p>
    <w:p>
      <w:pPr>
        <w:pStyle w:val="Normal"/>
        <w:numPr>
          <w:ilvl w:val="0"/>
          <w:numId w:val="1"/>
        </w:numPr>
        <w:bidi w:val="0"/>
        <w:jc w:val="both"/>
        <w:outlineLvl w:val="4"/>
        <w:rPr>
          <w:sz w:val="24"/>
        </w:rPr>
      </w:pPr>
      <w:r>
        <w:rPr>
          <w:sz w:val="24"/>
        </w:rPr>
        <w:t>након разматрања захтева Основни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ListParagraph"/>
        <w:numPr>
          <w:ilvl w:val="0"/>
          <w:numId w:val="0"/>
        </w:numPr>
        <w:bidi w:val="0"/>
        <w:ind w:left="720" w:right="0" w:hanging="0"/>
        <w:jc w:val="left"/>
        <w:outlineLvl w:val="4"/>
        <w:rPr>
          <w:sz w:val="24"/>
        </w:rPr>
      </w:pPr>
      <w:r>
        <w:rPr>
          <w:sz w:val="24"/>
        </w:rPr>
      </w:r>
    </w:p>
    <w:p>
      <w:pPr>
        <w:pStyle w:val="Normal"/>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pStyle w:val="Normal"/>
        <w:numPr>
          <w:ilvl w:val="0"/>
          <w:numId w:val="0"/>
        </w:numPr>
        <w:bidi w:val="0"/>
        <w:ind w:left="0" w:right="0" w:firstLine="360"/>
        <w:jc w:val="both"/>
        <w:outlineLvl w:val="4"/>
        <w:rPr>
          <w:color w:val="FF0000"/>
          <w:sz w:val="24"/>
        </w:rPr>
      </w:pPr>
      <w:r>
        <w:rPr>
          <w:color w:val="FF0000"/>
          <w:sz w:val="24"/>
        </w:rPr>
      </w:r>
    </w:p>
    <w:p>
      <w:pPr>
        <w:pStyle w:val="Normal"/>
        <w:numPr>
          <w:ilvl w:val="0"/>
          <w:numId w:val="0"/>
        </w:numPr>
        <w:bidi w:val="0"/>
        <w:ind w:left="0" w:right="0" w:firstLine="360"/>
        <w:jc w:val="both"/>
        <w:outlineLvl w:val="4"/>
        <w:rPr>
          <w:sz w:val="24"/>
        </w:rPr>
      </w:pPr>
      <w:r>
        <w:rPr>
          <w:sz w:val="24"/>
        </w:rPr>
      </w:r>
    </w:p>
    <w:p>
      <w:pPr>
        <w:pStyle w:val="Normal"/>
        <w:numPr>
          <w:ilvl w:val="0"/>
          <w:numId w:val="0"/>
        </w:numPr>
        <w:bidi w:val="0"/>
        <w:ind w:left="0" w:right="0" w:hanging="0"/>
        <w:jc w:val="center"/>
        <w:outlineLvl w:val="0"/>
        <w:rPr>
          <w:b/>
          <w:b/>
          <w:sz w:val="24"/>
        </w:rPr>
      </w:pPr>
      <w:bookmarkStart w:id="6" w:name="_Toc517172837"/>
      <w:r>
        <w:rPr>
          <w:b/>
          <w:sz w:val="24"/>
        </w:rPr>
        <w:t>VI  -  ОПИС НАДЛЕЖНОСТИ, ОВЛАШЋЕЊА И ОБАВЕЗА</w:t>
      </w:r>
      <w:bookmarkEnd w:id="6"/>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Месна надлежност</w:t>
      </w: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Стварна надлежност</w:t>
      </w: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14.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ће решењем одбацити кривичну пријаву ако из саме пријаве простиче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Основни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Основни јавни тужилац у Куршумлији,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Јавни тужилац и заменик јавног тужиоца је самосталан у вршењу својих овлашћења.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Јавни тужилац и заменик јавног тужиоца дужни су да одбију сваку радњу која представља утицај на самосталност у раду јавног тужилаштва.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Јавни тужилац и заменик јавног тужиоца у вршењу своје функције поступају у складу са Етичким кодексом, који доноси Државно веће тужилаца.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израђује План</w:t>
      </w:r>
      <w:r>
        <w:rPr>
          <w:sz w:val="24"/>
          <w:lang w:val="sr-RS"/>
        </w:rPr>
        <w:t xml:space="preserve"> рада,</w:t>
      </w:r>
      <w:r>
        <w:rPr>
          <w:sz w:val="24"/>
        </w:rPr>
        <w:t xml:space="preserve"> </w:t>
      </w:r>
      <w:r>
        <w:rPr>
          <w:sz w:val="24"/>
          <w:lang w:val="sr-RS"/>
        </w:rPr>
        <w:t>П</w:t>
      </w:r>
      <w:r>
        <w:rPr>
          <w:sz w:val="24"/>
        </w:rPr>
        <w:t>рограм рада, као и Годишњи извештај о раду.</w:t>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numPr>
          <w:ilvl w:val="0"/>
          <w:numId w:val="0"/>
        </w:numPr>
        <w:bidi w:val="0"/>
        <w:ind w:left="0" w:right="0" w:hanging="0"/>
        <w:jc w:val="center"/>
        <w:outlineLvl w:val="0"/>
        <w:rPr>
          <w:b/>
          <w:b/>
          <w:sz w:val="24"/>
        </w:rPr>
      </w:pPr>
      <w:bookmarkStart w:id="7" w:name="_Toc517172838"/>
      <w:r>
        <w:rPr>
          <w:b/>
          <w:sz w:val="24"/>
        </w:rPr>
        <w:t>VII  -  ОПИС ПОСТУПАЊА У ОКВИРУ НАДЛЕЖНОСТИ, ОВЛАШЋЕЊА И ОБАВЕЗА</w:t>
      </w:r>
      <w:bookmarkEnd w:id="7"/>
    </w:p>
    <w:p>
      <w:pPr>
        <w:pStyle w:val="Normal"/>
        <w:bidi w:val="0"/>
        <w:jc w:val="center"/>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Основни јавни тужилац у Куршумлији послове из своје надлежности обавља непосредно или преко заменика јавног тужиоца који јавнотужилачку функцију врши у Основном јавном тужилаштву у Куршумлији.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њоме руководи јавни тужилац или заменик јавног тужиоца кога он одреди.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Обавезе, надлежности и овлашћења Основног јавног тужилаштва произилазе из: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pStyle w:val="Normal"/>
        <w:numPr>
          <w:ilvl w:val="0"/>
          <w:numId w:val="0"/>
        </w:numPr>
        <w:bidi w:val="0"/>
        <w:ind w:left="0" w:right="0" w:firstLine="720"/>
        <w:jc w:val="both"/>
        <w:outlineLvl w:val="4"/>
        <w:rPr>
          <w:sz w:val="24"/>
        </w:rPr>
      </w:pPr>
      <w:r>
        <w:rPr>
          <w:sz w:val="24"/>
        </w:rPr>
        <w:t xml:space="preserve">2. Закон о јавном тужилаштву („Службени гласник РС“ бр. 116/2008,104/2009,101/2010, 78/2011 - др. закон, 101/2011, 38/2012 - одлука УС, 121/2012, 101/2013, 111/2014 - одлука УС, 117/2014, 106/2015 и 63/2016 - одлука УС); </w:t>
      </w:r>
    </w:p>
    <w:p>
      <w:pPr>
        <w:pStyle w:val="Normal"/>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pStyle w:val="Normal"/>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pStyle w:val="Normal"/>
        <w:numPr>
          <w:ilvl w:val="0"/>
          <w:numId w:val="0"/>
        </w:numPr>
        <w:bidi w:val="0"/>
        <w:ind w:left="0" w:right="0" w:firstLine="720"/>
        <w:jc w:val="both"/>
        <w:outlineLvl w:val="4"/>
        <w:rPr>
          <w:sz w:val="24"/>
        </w:rPr>
      </w:pPr>
      <w:r>
        <w:rPr>
          <w:sz w:val="24"/>
        </w:rPr>
        <w:t xml:space="preserve">5.  Кривични законик ("Службени гласник РС" бр. 85/2005, 88/2005 - испр., 107/2005 - испр., 72/2009, 111/2009, 121/2012, 104/2013, 108/2014 i 94/2016) </w:t>
      </w:r>
    </w:p>
    <w:p>
      <w:pPr>
        <w:pStyle w:val="Normal"/>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sr-RS"/>
        </w:rPr>
        <w:t>-</w:t>
      </w:r>
      <w:r>
        <w:rPr>
          <w:sz w:val="24"/>
        </w:rPr>
        <w:t xml:space="preserve">правној заштити           малолетних лица (''Сл. гласник РС'' број 85/2005), </w:t>
      </w:r>
    </w:p>
    <w:p>
      <w:pPr>
        <w:pStyle w:val="Normal"/>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pStyle w:val="Normal"/>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pStyle w:val="Normal"/>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pStyle w:val="Normal"/>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pStyle w:val="Normal"/>
        <w:numPr>
          <w:ilvl w:val="0"/>
          <w:numId w:val="0"/>
        </w:numPr>
        <w:bidi w:val="0"/>
        <w:ind w:left="0" w:right="0" w:firstLine="720"/>
        <w:jc w:val="both"/>
        <w:outlineLvl w:val="4"/>
        <w:rPr>
          <w:sz w:val="24"/>
        </w:rPr>
      </w:pPr>
      <w:r>
        <w:rPr>
          <w:sz w:val="24"/>
        </w:rPr>
        <w:t>11.Закон о спречавању насиља у породици</w:t>
      </w:r>
    </w:p>
    <w:p>
      <w:pPr>
        <w:pStyle w:val="Normal"/>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pStyle w:val="Normal"/>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pStyle w:val="Normal"/>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pStyle w:val="Normal"/>
        <w:numPr>
          <w:ilvl w:val="0"/>
          <w:numId w:val="0"/>
        </w:numPr>
        <w:bidi w:val="0"/>
        <w:ind w:left="0" w:right="0" w:firstLine="720"/>
        <w:jc w:val="both"/>
        <w:outlineLvl w:val="4"/>
        <w:rPr>
          <w:sz w:val="24"/>
        </w:rPr>
      </w:pPr>
      <w:r>
        <w:rPr>
          <w:sz w:val="24"/>
        </w:rPr>
        <w:t>15.  други позитивн</w:t>
      </w:r>
      <w:r>
        <w:rPr>
          <w:sz w:val="24"/>
          <w:lang w:val="sr-RS"/>
        </w:rPr>
        <w:t xml:space="preserve">и </w:t>
      </w:r>
      <w:r>
        <w:rPr>
          <w:sz w:val="24"/>
        </w:rPr>
        <w:t>правни прописи.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У временском периоду од 01.01.201</w:t>
      </w:r>
      <w:r>
        <w:rPr>
          <w:sz w:val="24"/>
          <w:lang w:val="sr-RS"/>
        </w:rPr>
        <w:t>9</w:t>
      </w:r>
      <w:r>
        <w:rPr>
          <w:sz w:val="24"/>
        </w:rPr>
        <w:t>. године до 31.12.201</w:t>
      </w:r>
      <w:r>
        <w:rPr>
          <w:sz w:val="24"/>
          <w:lang w:val="sr-RS"/>
        </w:rPr>
        <w:t>9</w:t>
      </w:r>
      <w:r>
        <w:rPr>
          <w:sz w:val="24"/>
        </w:rPr>
        <w:t>. године Основно јавно тужилаштво у Куршумлији је у раду имало:</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9286" w:type="dxa"/>
        <w:jc w:val="left"/>
        <w:tblInd w:w="0" w:type="dxa"/>
        <w:tblCellMar>
          <w:top w:w="0" w:type="dxa"/>
          <w:left w:w="108" w:type="dxa"/>
          <w:bottom w:w="0" w:type="dxa"/>
          <w:right w:w="108" w:type="dxa"/>
        </w:tblCellMar>
      </w:tblPr>
      <w:tblGrid>
        <w:gridCol w:w="4643"/>
        <w:gridCol w:w="4642"/>
      </w:tblGrid>
      <w:tr>
        <w:trPr>
          <w:trHeight w:val="493" w:hRule="atLeast"/>
        </w:trPr>
        <w:tc>
          <w:tcPr>
            <w:tcW w:w="4643"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b/>
                <w:b/>
                <w:sz w:val="24"/>
              </w:rPr>
            </w:pPr>
            <w:r>
              <w:rPr>
                <w:b/>
                <w:sz w:val="24"/>
              </w:rPr>
              <w:t>Уписник</w:t>
            </w:r>
          </w:p>
        </w:tc>
        <w:tc>
          <w:tcPr>
            <w:tcW w:w="4642"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b/>
                <w:b/>
                <w:sz w:val="24"/>
              </w:rPr>
            </w:pPr>
            <w:r>
              <w:rPr>
                <w:b/>
                <w:sz w:val="24"/>
              </w:rPr>
              <w:t xml:space="preserve"> </w:t>
            </w:r>
            <w:r>
              <w:rPr>
                <w:b/>
                <w:sz w:val="24"/>
              </w:rPr>
              <w:t>Број предмета / 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lang w:val="sr-RS"/>
              </w:rPr>
              <w:t>4</w:t>
            </w:r>
            <w:r>
              <w:rPr>
                <w:rFonts w:eastAsia="宋体" w:cs="" w:cstheme="minorBidi" w:eastAsiaTheme="minorEastAsia"/>
                <w:color w:val="000000"/>
                <w:position w:val="0"/>
                <w:sz w:val="24"/>
                <w:sz w:val="24"/>
                <w:u w:val="none"/>
                <w:shd w:fill="auto" w:val="clear"/>
                <w:vertAlign w:val="baseline"/>
                <w:lang w:val="sr-RS"/>
              </w:rPr>
              <w:t>80</w:t>
            </w:r>
            <w:r>
              <w:rPr>
                <w:sz w:val="24"/>
              </w:rPr>
              <w:t xml:space="preserve"> (</w:t>
            </w:r>
            <w:r>
              <w:rPr>
                <w:sz w:val="24"/>
                <w:lang w:val="sr-RS"/>
              </w:rPr>
              <w:t>551</w:t>
            </w:r>
            <w:r>
              <w:rPr>
                <w:sz w:val="24"/>
              </w:rPr>
              <w:t xml:space="preserve"> 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КТИ</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lang w:val="sr-RS"/>
              </w:rPr>
              <w:t>10</w:t>
            </w:r>
            <w:r>
              <w:rPr>
                <w:sz w:val="24"/>
              </w:rPr>
              <w:t xml:space="preserve"> (</w:t>
            </w:r>
            <w:r>
              <w:rPr>
                <w:sz w:val="24"/>
                <w:lang w:val="sr-RS"/>
              </w:rPr>
              <w:t>13</w:t>
            </w:r>
            <w:r>
              <w:rPr>
                <w:sz w:val="24"/>
              </w:rPr>
              <w:t xml:space="preserve"> лиц</w:t>
            </w:r>
            <w:r>
              <w:rPr>
                <w:sz w:val="24"/>
                <w:lang w:val="sr-RS"/>
              </w:rPr>
              <w:t>а</w:t>
            </w:r>
            <w:r>
              <w:rPr>
                <w:sz w:val="24"/>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КТО</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lang w:val="sr-RS"/>
              </w:rPr>
              <w:t>179</w:t>
            </w:r>
            <w:r>
              <w:rPr>
                <w:sz w:val="24"/>
              </w:rPr>
              <w:t xml:space="preserve"> ( </w:t>
            </w:r>
            <w:r>
              <w:rPr>
                <w:sz w:val="24"/>
                <w:lang w:val="sr-RS"/>
              </w:rPr>
              <w:t xml:space="preserve">206 </w:t>
            </w:r>
            <w:r>
              <w:rPr>
                <w:sz w:val="24"/>
              </w:rPr>
              <w:t>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НПТ</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rFonts w:eastAsia="宋体" w:cs="" w:cstheme="minorBidi" w:eastAsiaTheme="minorEastAsia"/>
                <w:color w:val="000000"/>
                <w:position w:val="0"/>
                <w:sz w:val="24"/>
                <w:sz w:val="24"/>
                <w:u w:val="none"/>
                <w:shd w:fill="auto" w:val="clear"/>
                <w:vertAlign w:val="baseline"/>
                <w:lang w:val="sr-RS"/>
              </w:rPr>
              <w:t>81</w:t>
            </w:r>
            <w:r>
              <w:rPr>
                <w:sz w:val="24"/>
                <w:lang w:val="sr-RS"/>
              </w:rPr>
              <w:t xml:space="preserve"> (82 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НПТ1</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24</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КТРI</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5</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КТР</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287</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КТН</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rPr>
              <w:t>2</w:t>
            </w:r>
            <w:r>
              <w:rPr>
                <w:sz w:val="24"/>
                <w:lang w:val="sr-RS"/>
              </w:rPr>
              <w:t>18</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КТНИ</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КЕО</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lang w:val="sr-RS"/>
              </w:rPr>
              <w:t>56</w:t>
            </w:r>
            <w:r>
              <w:rPr>
                <w:sz w:val="24"/>
              </w:rPr>
              <w:t xml:space="preserve"> ( </w:t>
            </w:r>
            <w:r>
              <w:rPr>
                <w:sz w:val="24"/>
                <w:lang w:val="sr-RS"/>
              </w:rPr>
              <w:t xml:space="preserve">57 </w:t>
            </w:r>
            <w:r>
              <w:rPr>
                <w:sz w:val="24"/>
              </w:rPr>
              <w:t>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КТПО</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МП</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ПТ</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6 (6 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ПОВ</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53</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СТР.ПОВ.</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lang w:val="sr-RS"/>
              </w:rPr>
            </w:pPr>
            <w:r>
              <w:rPr>
                <w:lang w:val="sr-RS"/>
              </w:rPr>
              <w:t>237</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А</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216</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Р</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56</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Р сл.</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138</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КДП II</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10</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КДП I</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СК</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lang w:val="sr-RS"/>
              </w:rPr>
              <w:t>21</w:t>
            </w:r>
            <w:r>
              <w:rPr>
                <w:sz w:val="24"/>
              </w:rPr>
              <w:t xml:space="preserve"> (</w:t>
            </w:r>
            <w:r>
              <w:rPr>
                <w:sz w:val="24"/>
                <w:lang w:val="sr-RS"/>
              </w:rPr>
              <w:t>22</w:t>
            </w:r>
            <w:r>
              <w:rPr>
                <w:sz w:val="24"/>
              </w:rPr>
              <w:t xml:space="preserve"> лица)</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ПИ</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200</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42</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ГТ</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ОИК</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И</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740</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Уступљени</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22</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О</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3</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 xml:space="preserve">Службено </w:t>
            </w:r>
          </w:p>
        </w:tc>
        <w:tc>
          <w:tcPr>
            <w:tcW w:w="464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7</w:t>
            </w:r>
          </w:p>
        </w:tc>
      </w:tr>
      <w:tr>
        <w:trPr>
          <w:trHeight w:val="373" w:hRule="atLeast"/>
        </w:trPr>
        <w:tc>
          <w:tcPr>
            <w:tcW w:w="4643"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b/>
                <w:b/>
                <w:bCs/>
                <w:sz w:val="24"/>
              </w:rPr>
            </w:pPr>
            <w:r>
              <w:rPr>
                <w:b/>
                <w:bCs/>
                <w:sz w:val="24"/>
              </w:rPr>
              <w:t>Укупно предмета:</w:t>
            </w:r>
          </w:p>
        </w:tc>
        <w:tc>
          <w:tcPr>
            <w:tcW w:w="4642"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keepNext w:val="false"/>
              <w:keepLines w:val="false"/>
              <w:widowControl/>
              <w:numPr>
                <w:ilvl w:val="0"/>
                <w:numId w:val="0"/>
              </w:numPr>
              <w:overflowPunct w:val="false"/>
              <w:bidi w:val="0"/>
              <w:snapToGrid w:val="true"/>
              <w:spacing w:before="60" w:after="0"/>
              <w:ind w:left="0" w:right="0" w:hanging="0"/>
              <w:jc w:val="center"/>
              <w:textAlignment w:val="auto"/>
              <w:outlineLvl w:val="4"/>
              <w:rPr>
                <w:rFonts w:ascii="Times New Roman" w:hAnsi="Times New Roman" w:eastAsia="宋体" w:cs="" w:cstheme="minorBidi" w:eastAsiaTheme="minorEastAsia"/>
                <w:b/>
                <w:b/>
                <w:bCs/>
                <w:color w:val="auto"/>
                <w:position w:val="0"/>
                <w:sz w:val="20"/>
                <w:sz w:val="24"/>
                <w:u w:val="none"/>
                <w:vertAlign w:val="baseline"/>
                <w:lang w:val="sr-RS"/>
              </w:rPr>
            </w:pPr>
            <w:r>
              <w:rPr>
                <w:rFonts w:eastAsia="宋体" w:cs="" w:cstheme="minorBidi" w:eastAsiaTheme="minorEastAsia"/>
                <w:b/>
                <w:bCs/>
                <w:color w:val="000000"/>
                <w:position w:val="0"/>
                <w:sz w:val="24"/>
                <w:sz w:val="24"/>
                <w:u w:val="none"/>
                <w:shd w:fill="auto" w:val="clear"/>
                <w:vertAlign w:val="baseline"/>
                <w:lang w:val="sr-RS"/>
              </w:rPr>
              <w:t>3091</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color w:val="000000"/>
          <w:sz w:val="24"/>
        </w:rPr>
      </w:pPr>
      <w:bookmarkStart w:id="8" w:name="_Toc517172839"/>
      <w:r>
        <w:rPr>
          <w:b/>
          <w:color w:val="000000"/>
          <w:sz w:val="24"/>
        </w:rPr>
        <w:t>VIII  -  НАВОЂЕЊЕ ПРОПИСА</w:t>
      </w:r>
      <w:bookmarkEnd w:id="8"/>
    </w:p>
    <w:p>
      <w:pPr>
        <w:pStyle w:val="Normal"/>
        <w:bidi w:val="0"/>
        <w:jc w:val="center"/>
        <w:rPr>
          <w:b/>
          <w:b/>
          <w:color w:val="000000"/>
          <w:sz w:val="24"/>
        </w:rPr>
      </w:pPr>
      <w:r>
        <w:rPr>
          <w:b/>
          <w:color w:val="000000"/>
          <w:sz w:val="24"/>
        </w:rPr>
      </w:r>
    </w:p>
    <w:p>
      <w:pPr>
        <w:pStyle w:val="Normal"/>
        <w:bidi w:val="0"/>
        <w:jc w:val="center"/>
        <w:rPr>
          <w:b/>
          <w:b/>
          <w:color w:val="000000"/>
          <w:sz w:val="24"/>
        </w:rPr>
      </w:pPr>
      <w:r>
        <w:rPr>
          <w:b/>
          <w:color w:val="000000"/>
          <w:sz w:val="24"/>
        </w:rPr>
      </w:r>
    </w:p>
    <w:p>
      <w:pPr>
        <w:pStyle w:val="Normal"/>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 xml:space="preserve">1.  Закон о јавном тужилаштву („Службени гласник РС“ бр. 116/2008, 104/2009, 101/2010,  78/2011- др. закон, 101/2011, 38/2012 - одлука УС, 121/2012, 101/2013, 111/2014 - одлука УС, 117/2014, 106/2015 и 63/2016 - одлука УС); </w:t>
      </w:r>
    </w:p>
    <w:p>
      <w:pPr>
        <w:pStyle w:val="Normal"/>
        <w:numPr>
          <w:ilvl w:val="0"/>
          <w:numId w:val="0"/>
        </w:numPr>
        <w:bidi w:val="0"/>
        <w:ind w:left="0" w:right="0" w:hanging="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pStyle w:val="Normal"/>
        <w:numPr>
          <w:ilvl w:val="0"/>
          <w:numId w:val="0"/>
        </w:numPr>
        <w:bidi w:val="0"/>
        <w:ind w:left="0" w:right="0" w:hanging="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pStyle w:val="Normal"/>
        <w:numPr>
          <w:ilvl w:val="0"/>
          <w:numId w:val="0"/>
        </w:numPr>
        <w:bidi w:val="0"/>
        <w:ind w:left="0" w:right="0" w:hanging="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w:t>
      </w:r>
    </w:p>
    <w:p>
      <w:pPr>
        <w:pStyle w:val="Normal"/>
        <w:numPr>
          <w:ilvl w:val="0"/>
          <w:numId w:val="0"/>
        </w:numPr>
        <w:bidi w:val="0"/>
        <w:ind w:left="0" w:right="0" w:hanging="0"/>
        <w:jc w:val="both"/>
        <w:outlineLvl w:val="4"/>
        <w:rPr>
          <w:color w:val="000000"/>
          <w:sz w:val="24"/>
        </w:rPr>
      </w:pPr>
      <w:r>
        <w:rPr>
          <w:color w:val="000000"/>
          <w:sz w:val="24"/>
        </w:rPr>
        <w:t>5.  Закон о малолетним учиниоцима кривичних дела и кривично</w:t>
      </w:r>
      <w:r>
        <w:rPr>
          <w:color w:val="000000"/>
          <w:sz w:val="24"/>
          <w:lang w:val="sr-RS"/>
        </w:rPr>
        <w:t>-</w:t>
      </w:r>
      <w:r>
        <w:rPr>
          <w:color w:val="000000"/>
          <w:sz w:val="24"/>
        </w:rPr>
        <w:t xml:space="preserve">правној заштити           малолетних лица (''Сл. гласник РС'' број 85/2005), </w:t>
      </w:r>
    </w:p>
    <w:p>
      <w:pPr>
        <w:pStyle w:val="Normal"/>
        <w:numPr>
          <w:ilvl w:val="0"/>
          <w:numId w:val="0"/>
        </w:numPr>
        <w:bidi w:val="0"/>
        <w:ind w:left="0" w:right="0" w:hanging="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pStyle w:val="Normal"/>
        <w:numPr>
          <w:ilvl w:val="0"/>
          <w:numId w:val="0"/>
        </w:numPr>
        <w:bidi w:val="0"/>
        <w:ind w:left="0" w:right="0" w:hanging="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pStyle w:val="Normal"/>
        <w:numPr>
          <w:ilvl w:val="0"/>
          <w:numId w:val="0"/>
        </w:numPr>
        <w:bidi w:val="0"/>
        <w:ind w:left="0" w:right="0" w:hanging="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pStyle w:val="Normal"/>
        <w:numPr>
          <w:ilvl w:val="0"/>
          <w:numId w:val="0"/>
        </w:numPr>
        <w:bidi w:val="0"/>
        <w:ind w:left="0" w:right="0" w:hanging="0"/>
        <w:jc w:val="both"/>
        <w:outlineLvl w:val="4"/>
        <w:rPr>
          <w:color w:val="000000"/>
          <w:sz w:val="24"/>
        </w:rPr>
      </w:pPr>
      <w:r>
        <w:rPr>
          <w:color w:val="000000"/>
          <w:sz w:val="24"/>
        </w:rPr>
        <w:t>9. Закон о спречавању насиља у породици</w:t>
      </w:r>
    </w:p>
    <w:p>
      <w:pPr>
        <w:pStyle w:val="Normal"/>
        <w:numPr>
          <w:ilvl w:val="0"/>
          <w:numId w:val="0"/>
        </w:numPr>
        <w:bidi w:val="0"/>
        <w:ind w:left="0" w:right="0" w:hanging="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pStyle w:val="Normal"/>
        <w:numPr>
          <w:ilvl w:val="0"/>
          <w:numId w:val="0"/>
        </w:numPr>
        <w:bidi w:val="0"/>
        <w:ind w:left="0" w:right="0" w:hanging="0"/>
        <w:jc w:val="both"/>
        <w:outlineLvl w:val="4"/>
        <w:rPr>
          <w:color w:val="000000"/>
          <w:sz w:val="24"/>
        </w:rPr>
      </w:pPr>
      <w:r>
        <w:rPr>
          <w:color w:val="000000"/>
          <w:sz w:val="24"/>
        </w:rPr>
        <w:t xml:space="preserve">11.Закона о општем управном поступку („Службени гласник РС“, број 18/16) </w:t>
      </w:r>
    </w:p>
    <w:p>
      <w:pPr>
        <w:pStyle w:val="Normal"/>
        <w:numPr>
          <w:ilvl w:val="0"/>
          <w:numId w:val="0"/>
        </w:numPr>
        <w:bidi w:val="0"/>
        <w:ind w:left="0" w:right="0" w:hanging="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sr-RS"/>
        </w:rPr>
        <w:t xml:space="preserve">и </w:t>
      </w:r>
      <w:r>
        <w:rPr>
          <w:color w:val="000000"/>
          <w:sz w:val="24"/>
        </w:rPr>
        <w:t>правни прописи</w:t>
      </w:r>
      <w:r>
        <w:rPr>
          <w:color w:val="000000"/>
          <w:sz w:val="24"/>
          <w:lang w:val="sr-RS"/>
        </w:rPr>
        <w:t>.</w:t>
      </w:r>
      <w:r>
        <w:rPr>
          <w:color w:val="000000"/>
          <w:sz w:val="24"/>
        </w:rPr>
        <w:t xml:space="preserve"> </w:t>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numPr>
          <w:ilvl w:val="0"/>
          <w:numId w:val="0"/>
        </w:numPr>
        <w:bidi w:val="0"/>
        <w:ind w:left="0" w:right="0" w:hanging="0"/>
        <w:jc w:val="center"/>
        <w:outlineLvl w:val="0"/>
        <w:rPr>
          <w:b/>
          <w:b/>
          <w:sz w:val="24"/>
        </w:rPr>
      </w:pPr>
      <w:bookmarkStart w:id="9" w:name="_Toc517172840"/>
      <w:r>
        <w:rPr>
          <w:b/>
          <w:sz w:val="24"/>
        </w:rPr>
        <w:t>IX  -  УСЛУГЕ КОЈЕ ОРГАН ПРУЖА ЗАИНТЕРЕСОВАНИМ ЛIЦИМА</w:t>
      </w:r>
      <w:bookmarkEnd w:id="9"/>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0" w:name="_Toc517172841"/>
      <w:r>
        <w:rPr>
          <w:b/>
          <w:sz w:val="24"/>
        </w:rPr>
        <w:t>X  -  ПОСТУПАК РАДИ ПРУЖАЊА УСЛУГА</w:t>
      </w:r>
      <w:bookmarkEnd w:id="10"/>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ojtkursumlija1@gmail.com.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обевештења на која их овласти јавни тужилац или заменик јавог тужиоца кога он одреди – заменик јавног тужиоца који поступа у предмету. Странка која није задовољна поступањем радника писарнице може поденти притужбу на рад, сходно чл. 72. Правилника о управи у јавним тужилаштвима.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Представка или притужба на рад заменика јавног тужиоца или запосленог Основног јавног тужилаштва у Куршумлији, подноси се јавном тужиоцу, а на рад јавног тужиоца, непосредно вишем јавном тужиоцу, односно Вишем јавном тужиоцу у Прокупљу.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ojtkursumlija1@gmail.com.</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lang w:val="sr-RS"/>
        </w:rPr>
      </w:pPr>
      <w:r>
        <w:rPr>
          <w:sz w:val="24"/>
        </w:rP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sr-RS"/>
        </w:rPr>
        <w:t xml:space="preserve"> се и ови органи.</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На поступак одлучивања по захтевима за приступ инфо</w:t>
      </w:r>
      <w:r>
        <w:rPr>
          <w:sz w:val="24"/>
          <w:lang w:val="sr-RS"/>
        </w:rPr>
        <w:t>р</w:t>
      </w:r>
      <w:r>
        <w:rPr>
          <w:sz w:val="24"/>
        </w:rPr>
        <w:t xml:space="preserve">мацијама од јавног значаја примењује се Закон о слободном приступу информација од јавног значаја. </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1" w:name="_Toc517172842"/>
      <w:r>
        <w:rPr>
          <w:b/>
          <w:sz w:val="24"/>
        </w:rPr>
        <w:t>XI  -  ПРЕГЛЕД ПОДАТАКА О ПРУЖЕНИМ УСЛУГАМА</w:t>
      </w:r>
      <w:bookmarkEnd w:id="11"/>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b/>
          <w:b/>
          <w:sz w:val="24"/>
        </w:rPr>
      </w:pPr>
      <w:r>
        <w:rPr>
          <w:b/>
          <w:sz w:val="24"/>
        </w:rPr>
        <w:t>У временском периоду од 01.01.201</w:t>
      </w:r>
      <w:r>
        <w:rPr>
          <w:b/>
          <w:sz w:val="24"/>
          <w:lang w:val="sr-RS"/>
        </w:rPr>
        <w:t>9</w:t>
      </w:r>
      <w:r>
        <w:rPr>
          <w:b/>
          <w:sz w:val="24"/>
        </w:rPr>
        <w:t>. године до 31.12.201</w:t>
      </w:r>
      <w:r>
        <w:rPr>
          <w:b/>
          <w:sz w:val="24"/>
          <w:lang w:val="sr-RS"/>
        </w:rPr>
        <w:t>9</w:t>
      </w:r>
      <w:r>
        <w:rPr>
          <w:b/>
          <w:sz w:val="24"/>
        </w:rPr>
        <w:t>. године Основно јавно тужилаш</w:t>
      </w:r>
      <w:r>
        <w:rPr>
          <w:b/>
          <w:sz w:val="24"/>
          <w:lang w:val="sr-RS"/>
        </w:rPr>
        <w:t>т</w:t>
      </w:r>
      <w:r>
        <w:rPr>
          <w:b/>
          <w:sz w:val="24"/>
        </w:rPr>
        <w:t>во у Куршумлији имало је:</w:t>
      </w:r>
    </w:p>
    <w:p>
      <w:pPr>
        <w:pStyle w:val="Normal"/>
        <w:numPr>
          <w:ilvl w:val="0"/>
          <w:numId w:val="0"/>
        </w:numPr>
        <w:bidi w:val="0"/>
        <w:ind w:left="0" w:right="0" w:firstLine="720"/>
        <w:jc w:val="both"/>
        <w:outlineLvl w:val="4"/>
        <w:rPr>
          <w:b/>
          <w:b/>
          <w:sz w:val="24"/>
        </w:rPr>
      </w:pPr>
      <w:r>
        <w:rPr>
          <w:b/>
          <w:sz w:val="24"/>
        </w:rPr>
      </w:r>
    </w:p>
    <w:p>
      <w:pPr>
        <w:pStyle w:val="Normal"/>
        <w:numPr>
          <w:ilvl w:val="0"/>
          <w:numId w:val="0"/>
        </w:numPr>
        <w:bidi w:val="0"/>
        <w:ind w:left="0" w:right="0" w:firstLine="720"/>
        <w:jc w:val="both"/>
        <w:outlineLvl w:val="4"/>
        <w:rPr>
          <w:b/>
          <w:b/>
          <w:sz w:val="24"/>
        </w:rPr>
      </w:pPr>
      <w:r>
        <w:rPr>
          <w:b/>
          <w:sz w:val="24"/>
        </w:rPr>
      </w:r>
    </w:p>
    <w:tbl>
      <w:tblPr>
        <w:tblStyle w:val="13"/>
        <w:tblpPr w:bottomFromText="0" w:horzAnchor="margin" w:leftFromText="180" w:rightFromText="180" w:tblpX="1" w:tblpY="38" w:topFromText="0" w:vertAnchor="text"/>
        <w:tblW w:w="9286" w:type="dxa"/>
        <w:jc w:val="left"/>
        <w:tblInd w:w="108" w:type="dxa"/>
        <w:tblCellMar>
          <w:top w:w="0" w:type="dxa"/>
          <w:left w:w="108" w:type="dxa"/>
          <w:bottom w:w="0" w:type="dxa"/>
          <w:right w:w="108" w:type="dxa"/>
        </w:tblCellMar>
      </w:tblPr>
      <w:tblGrid>
        <w:gridCol w:w="1857"/>
        <w:gridCol w:w="1857"/>
        <w:gridCol w:w="1857"/>
        <w:gridCol w:w="1624"/>
        <w:gridCol w:w="2091"/>
      </w:tblGrid>
      <w:tr>
        <w:trPr/>
        <w:tc>
          <w:tcPr>
            <w:tcW w:w="185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left"/>
              <w:outlineLvl w:val="4"/>
              <w:rPr>
                <w:sz w:val="22"/>
              </w:rPr>
            </w:pPr>
            <w:r>
              <w:rPr>
                <w:sz w:val="22"/>
              </w:rPr>
              <w:t>Број заведених предмета у КТ уписник по лицима</w:t>
            </w:r>
          </w:p>
        </w:tc>
        <w:tc>
          <w:tcPr>
            <w:tcW w:w="185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left"/>
              <w:outlineLvl w:val="4"/>
              <w:rPr>
                <w:sz w:val="22"/>
              </w:rPr>
            </w:pPr>
            <w:r>
              <w:rPr>
                <w:sz w:val="22"/>
              </w:rPr>
              <w:t>Број подигнутих оптужних предлога и оптужница по лицима</w:t>
            </w:r>
          </w:p>
        </w:tc>
        <w:tc>
          <w:tcPr>
            <w:tcW w:w="185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left"/>
              <w:outlineLvl w:val="4"/>
              <w:rPr>
                <w:sz w:val="22"/>
              </w:rPr>
            </w:pPr>
            <w:r>
              <w:rPr>
                <w:sz w:val="22"/>
              </w:rPr>
              <w:t>Број донетих наредби о спровођењу истраге по лицима</w:t>
            </w:r>
          </w:p>
        </w:tc>
        <w:tc>
          <w:tcPr>
            <w:tcW w:w="16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left"/>
              <w:outlineLvl w:val="4"/>
              <w:rPr>
                <w:sz w:val="22"/>
              </w:rPr>
            </w:pPr>
            <w:r>
              <w:rPr>
                <w:sz w:val="22"/>
              </w:rPr>
              <w:t>Број споразума о признању кривичног дела</w:t>
            </w:r>
          </w:p>
        </w:tc>
        <w:tc>
          <w:tcPr>
            <w:tcW w:w="20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left"/>
              <w:outlineLvl w:val="4"/>
              <w:rPr>
                <w:sz w:val="22"/>
              </w:rPr>
            </w:pPr>
            <w:r>
              <w:rPr>
                <w:sz w:val="22"/>
              </w:rPr>
              <w:t>Број лица према којима је примењен институт  одлагања кривичног гоњења</w:t>
            </w:r>
          </w:p>
        </w:tc>
      </w:tr>
      <w:tr>
        <w:trPr>
          <w:trHeight w:val="403" w:hRule="atLeast"/>
        </w:trPr>
        <w:tc>
          <w:tcPr>
            <w:tcW w:w="18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551</w:t>
            </w:r>
          </w:p>
        </w:tc>
        <w:tc>
          <w:tcPr>
            <w:tcW w:w="18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153</w:t>
            </w:r>
          </w:p>
        </w:tc>
        <w:tc>
          <w:tcPr>
            <w:tcW w:w="18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13</w:t>
            </w:r>
          </w:p>
        </w:tc>
        <w:tc>
          <w:tcPr>
            <w:tcW w:w="16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21</w:t>
            </w:r>
          </w:p>
        </w:tc>
        <w:tc>
          <w:tcPr>
            <w:tcW w:w="209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57</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b/>
          <w:b/>
          <w:sz w:val="24"/>
        </w:rPr>
      </w:pPr>
      <w:r>
        <w:rPr>
          <w:b/>
          <w:sz w:val="24"/>
        </w:rPr>
        <w:t>Поступање по захтевима за приступ информацијама од јавног значаја у 201</w:t>
      </w:r>
      <w:r>
        <w:rPr>
          <w:b/>
          <w:sz w:val="24"/>
          <w:lang w:val="sr-RS"/>
        </w:rPr>
        <w:t>9</w:t>
      </w:r>
      <w:r>
        <w:rPr>
          <w:b/>
          <w:sz w:val="24"/>
        </w:rPr>
        <w:t>. години:</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b/>
          <w:b/>
          <w:sz w:val="24"/>
        </w:rPr>
      </w:pPr>
      <w:r>
        <w:rPr>
          <w:b/>
          <w:sz w:val="24"/>
        </w:rPr>
      </w:r>
    </w:p>
    <w:tbl>
      <w:tblPr>
        <w:tblStyle w:val="13"/>
        <w:tblW w:w="9286" w:type="dxa"/>
        <w:jc w:val="left"/>
        <w:tblInd w:w="0" w:type="dxa"/>
        <w:tblCellMar>
          <w:top w:w="0" w:type="dxa"/>
          <w:left w:w="108" w:type="dxa"/>
          <w:bottom w:w="0" w:type="dxa"/>
          <w:right w:w="108" w:type="dxa"/>
        </w:tblCellMar>
      </w:tblPr>
      <w:tblGrid>
        <w:gridCol w:w="1547"/>
        <w:gridCol w:w="1548"/>
        <w:gridCol w:w="1547"/>
        <w:gridCol w:w="1548"/>
        <w:gridCol w:w="1548"/>
        <w:gridCol w:w="1547"/>
      </w:tblGrid>
      <w:tr>
        <w:trPr/>
        <w:tc>
          <w:tcPr>
            <w:tcW w:w="15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b/>
                <w:b/>
                <w:sz w:val="24"/>
              </w:rPr>
            </w:pPr>
            <w:r>
              <w:rPr>
                <w:b/>
                <w:sz w:val="24"/>
              </w:rPr>
              <w:t>Подносилац</w:t>
            </w:r>
          </w:p>
        </w:tc>
        <w:tc>
          <w:tcPr>
            <w:tcW w:w="1548"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b/>
                <w:b/>
                <w:sz w:val="24"/>
              </w:rPr>
            </w:pPr>
            <w:r>
              <w:rPr>
                <w:b/>
                <w:sz w:val="24"/>
              </w:rPr>
              <w:t>Број захтева</w:t>
            </w:r>
          </w:p>
        </w:tc>
        <w:tc>
          <w:tcPr>
            <w:tcW w:w="15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b/>
                <w:b/>
                <w:sz w:val="24"/>
              </w:rPr>
            </w:pPr>
            <w:r>
              <w:rPr>
                <w:b/>
                <w:sz w:val="24"/>
              </w:rPr>
              <w:t>Одбачен</w:t>
            </w:r>
          </w:p>
        </w:tc>
        <w:tc>
          <w:tcPr>
            <w:tcW w:w="1548"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b/>
                <w:b/>
                <w:sz w:val="24"/>
              </w:rPr>
            </w:pPr>
            <w:r>
              <w:rPr>
                <w:b/>
                <w:sz w:val="24"/>
              </w:rPr>
              <w:t xml:space="preserve">Усвојен </w:t>
            </w:r>
          </w:p>
        </w:tc>
        <w:tc>
          <w:tcPr>
            <w:tcW w:w="1548"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b/>
                <w:b/>
                <w:sz w:val="24"/>
              </w:rPr>
            </w:pPr>
            <w:r>
              <w:rPr>
                <w:b/>
                <w:sz w:val="24"/>
              </w:rPr>
              <w:t xml:space="preserve">Одбијен </w:t>
            </w:r>
          </w:p>
        </w:tc>
        <w:tc>
          <w:tcPr>
            <w:tcW w:w="15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0"/>
              </w:numPr>
              <w:bidi w:val="0"/>
              <w:ind w:left="0" w:right="0" w:hanging="0"/>
              <w:jc w:val="center"/>
              <w:outlineLvl w:val="4"/>
              <w:rPr>
                <w:b/>
                <w:b/>
                <w:sz w:val="24"/>
              </w:rPr>
            </w:pPr>
            <w:r>
              <w:rPr>
                <w:b/>
                <w:sz w:val="24"/>
              </w:rPr>
              <w:t xml:space="preserve">Жалба </w:t>
            </w:r>
          </w:p>
        </w:tc>
      </w:tr>
      <w:tr>
        <w:trPr/>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 xml:space="preserve">Грађани </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10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lang w:val="sr-RS"/>
              </w:rPr>
            </w:pPr>
            <w:r>
              <w:rPr>
                <w:lang w:val="sr-RS"/>
              </w:rPr>
              <w:t>10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lang w:val="sr-RS"/>
              </w:rPr>
            </w:pPr>
            <w:r>
              <w:rPr>
                <w:sz w:val="24"/>
                <w:lang w:val="sr-RS"/>
              </w:rPr>
              <w:t>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lang w:val="sr-RS"/>
              </w:rPr>
            </w:pPr>
            <w:r>
              <w:rPr>
                <w:sz w:val="24"/>
                <w:lang w:val="sr-RS"/>
              </w:rPr>
              <w:t>0</w:t>
            </w:r>
          </w:p>
        </w:tc>
      </w:tr>
      <w:tr>
        <w:trPr/>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Медији</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lang w:val="sr-RS"/>
              </w:rPr>
            </w:pPr>
            <w:r>
              <w:rPr>
                <w:sz w:val="24"/>
                <w:lang w:val="sr-RS"/>
              </w:rPr>
              <w:t>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lang w:val="sr-RS"/>
              </w:rPr>
            </w:pPr>
            <w:r>
              <w:rPr>
                <w:sz w:val="24"/>
                <w:lang w:val="sr-RS"/>
              </w:rPr>
              <w:t>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r>
      <w:tr>
        <w:trPr/>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Удружење грађана</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lang w:val="sr-RS"/>
              </w:rPr>
            </w:pPr>
            <w:r>
              <w:rPr>
                <w:sz w:val="24"/>
                <w:lang w:val="sr-RS"/>
              </w:rPr>
              <w:t>6</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lang w:val="sr-RS"/>
              </w:rPr>
            </w:pPr>
            <w:r>
              <w:rPr>
                <w:sz w:val="24"/>
                <w:lang w:val="sr-RS"/>
              </w:rPr>
              <w:t>6</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before="120" w:after="0"/>
              <w:ind w:left="0" w:right="0" w:hanging="0"/>
              <w:jc w:val="center"/>
              <w:outlineLvl w:val="4"/>
              <w:rPr>
                <w:sz w:val="24"/>
              </w:rPr>
            </w:pPr>
            <w:r>
              <w:rPr>
                <w:sz w:val="24"/>
              </w:rPr>
              <w:t>0</w:t>
            </w:r>
          </w:p>
        </w:tc>
      </w:tr>
      <w:tr>
        <w:trPr/>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 xml:space="preserve">Остали </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184</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184</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r>
      <w:tr>
        <w:trPr/>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b/>
                <w:b/>
                <w:sz w:val="24"/>
              </w:rPr>
            </w:pPr>
            <w:r>
              <w:rPr>
                <w:b/>
                <w:sz w:val="24"/>
              </w:rPr>
              <w:t xml:space="preserve">Укупно: </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200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rFonts w:ascii="Times New Roman" w:hAnsi="Times New Roman" w:eastAsia="宋体" w:cs="" w:cstheme="minorBidi" w:eastAsiaTheme="minorEastAsia"/>
                <w:color w:val="auto"/>
                <w:position w:val="0"/>
                <w:sz w:val="20"/>
                <w:sz w:val="24"/>
                <w:u w:val="none"/>
                <w:vertAlign w:val="baseline"/>
                <w:lang w:val="sr-RS"/>
              </w:rPr>
            </w:pPr>
            <w:r>
              <w:rPr>
                <w:rFonts w:eastAsia="宋体" w:cs="" w:cstheme="minorBidi" w:eastAsiaTheme="minorEastAsia"/>
                <w:color w:val="000000"/>
                <w:position w:val="0"/>
                <w:sz w:val="24"/>
                <w:sz w:val="24"/>
                <w:u w:val="none"/>
                <w:shd w:fill="auto" w:val="clear"/>
                <w:vertAlign w:val="baseline"/>
                <w:lang w:val="sr-RS"/>
              </w:rPr>
              <w:t>200</w:t>
            </w:r>
          </w:p>
        </w:tc>
        <w:tc>
          <w:tcPr>
            <w:tcW w:w="154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lang w:val="sr-RS"/>
              </w:rPr>
            </w:pPr>
            <w:r>
              <w:rPr>
                <w:lang w:val="sr-RS"/>
              </w:rPr>
              <w:t>0</w:t>
            </w:r>
          </w:p>
        </w:tc>
        <w:tc>
          <w:tcPr>
            <w:tcW w:w="154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ind w:left="0" w:right="0" w:hanging="0"/>
              <w:jc w:val="center"/>
              <w:outlineLvl w:val="4"/>
              <w:rPr>
                <w:lang w:val="sr-RS"/>
              </w:rPr>
            </w:pPr>
            <w:r>
              <w:rPr>
                <w:lang w:val="sr-RS"/>
              </w:rPr>
              <w:t>0</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0"/>
        <w:rPr>
          <w:b/>
          <w:b/>
          <w:sz w:val="24"/>
        </w:rPr>
      </w:pPr>
      <w:r>
        <w:rPr>
          <w:b/>
          <w:sz w:val="24"/>
        </w:rPr>
        <w:t>XII  -  ПОДАЦИ О ПРИХОДИМА И РАСХОДИМА</w:t>
      </w:r>
    </w:p>
    <w:p>
      <w:pPr>
        <w:pStyle w:val="Normal"/>
        <w:bidi w:val="0"/>
        <w:jc w:val="both"/>
        <w:rPr>
          <w:sz w:val="24"/>
        </w:rPr>
      </w:pPr>
      <w:r>
        <w:rPr>
          <w:sz w:val="24"/>
        </w:rPr>
      </w:r>
    </w:p>
    <w:p>
      <w:pPr>
        <w:pStyle w:val="Normal"/>
        <w:numPr>
          <w:ilvl w:val="0"/>
          <w:numId w:val="0"/>
        </w:numPr>
        <w:bidi w:val="0"/>
        <w:ind w:left="0" w:right="0" w:firstLine="720"/>
        <w:jc w:val="both"/>
        <w:outlineLvl w:val="4"/>
        <w:rPr>
          <w:sz w:val="24"/>
          <w:szCs w:val="24"/>
        </w:rPr>
      </w:pPr>
      <w:r>
        <w:rPr>
          <w:sz w:val="24"/>
          <w:szCs w:val="24"/>
          <w:lang w:val="sr-Latn-RS"/>
        </w:rPr>
        <w:t>Приложена табела садржи податке о приходима и расходима Основног јавног тужилаштва у Куршумлији за 201</w:t>
      </w:r>
      <w:r>
        <w:rPr>
          <w:sz w:val="24"/>
          <w:szCs w:val="24"/>
          <w:lang w:val="sr-RS"/>
        </w:rPr>
        <w:t>9</w:t>
      </w:r>
      <w:r>
        <w:rPr>
          <w:sz w:val="24"/>
          <w:szCs w:val="24"/>
          <w:lang w:val="sr-Latn-RS"/>
        </w:rPr>
        <w:t>. годину од извора фина</w:t>
      </w:r>
      <w:r>
        <w:rPr>
          <w:sz w:val="24"/>
          <w:szCs w:val="24"/>
          <w:lang w:val="sr-RS"/>
        </w:rPr>
        <w:t>н</w:t>
      </w:r>
      <w:r>
        <w:rPr>
          <w:sz w:val="24"/>
          <w:szCs w:val="24"/>
          <w:lang w:val="sr-Latn-RS"/>
        </w:rPr>
        <w:t>сирања Државног већа тужилаца (пројекат 0013) и Министарства правде РС (пројекат 0014).</w:t>
      </w:r>
    </w:p>
    <w:p>
      <w:pPr>
        <w:pStyle w:val="Normal"/>
        <w:numPr>
          <w:ilvl w:val="0"/>
          <w:numId w:val="0"/>
        </w:numPr>
        <w:bidi w:val="0"/>
        <w:ind w:left="0" w:right="0" w:firstLine="720"/>
        <w:jc w:val="both"/>
        <w:outlineLvl w:val="4"/>
        <w:rPr>
          <w:sz w:val="24"/>
        </w:rPr>
      </w:pPr>
      <w:r>
        <w:rPr>
          <w:sz w:val="24"/>
        </w:rPr>
      </w:r>
    </w:p>
    <w:tbl>
      <w:tblPr>
        <w:tblStyle w:val="11"/>
        <w:tblW w:w="9626" w:type="dxa"/>
        <w:jc w:val="left"/>
        <w:tblInd w:w="82" w:type="dxa"/>
        <w:tblCellMar>
          <w:top w:w="0" w:type="dxa"/>
          <w:left w:w="108" w:type="dxa"/>
          <w:bottom w:w="0" w:type="dxa"/>
          <w:right w:w="108" w:type="dxa"/>
        </w:tblCellMar>
      </w:tblPr>
      <w:tblGrid>
        <w:gridCol w:w="719"/>
        <w:gridCol w:w="731"/>
        <w:gridCol w:w="961"/>
        <w:gridCol w:w="754"/>
        <w:gridCol w:w="861"/>
        <w:gridCol w:w="2083"/>
        <w:gridCol w:w="1433"/>
        <w:gridCol w:w="1154"/>
        <w:gridCol w:w="929"/>
      </w:tblGrid>
      <w:tr>
        <w:trPr>
          <w:trHeight w:val="675" w:hRule="atLeast"/>
        </w:trPr>
        <w:tc>
          <w:tcPr>
            <w:tcW w:w="719" w:type="dxa"/>
            <w:tcBorders>
              <w:top w:val="single" w:sz="8" w:space="0" w:color="000000"/>
              <w:left w:val="single" w:sz="8" w:space="0" w:color="000000"/>
              <w:bottom w:val="single" w:sz="4" w:space="0" w:color="000000"/>
            </w:tcBorders>
            <w:shd w:color="auto" w:fill="auto" w:val="clear"/>
            <w:vAlign w:val="bottom"/>
          </w:tcPr>
          <w:p>
            <w:pPr>
              <w:pStyle w:val="Normal"/>
              <w:bidi w:val="0"/>
              <w:jc w:val="center"/>
              <w:rPr>
                <w:b/>
                <w:b/>
                <w:bCs/>
                <w:sz w:val="20"/>
                <w:szCs w:val="20"/>
              </w:rPr>
            </w:pPr>
            <w:r>
              <w:rPr>
                <w:b/>
                <w:bCs/>
                <w:sz w:val="20"/>
                <w:szCs w:val="20"/>
              </w:rPr>
              <w:t>Функ</w:t>
            </w:r>
          </w:p>
        </w:tc>
        <w:tc>
          <w:tcPr>
            <w:tcW w:w="731"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sz w:val="20"/>
                <w:szCs w:val="20"/>
              </w:rPr>
            </w:pPr>
            <w:r>
              <w:rPr>
                <w:sz w:val="20"/>
                <w:szCs w:val="20"/>
              </w:rPr>
              <w:t>Извор</w:t>
            </w:r>
          </w:p>
        </w:tc>
        <w:tc>
          <w:tcPr>
            <w:tcW w:w="961"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sz w:val="20"/>
                <w:szCs w:val="20"/>
              </w:rPr>
            </w:pPr>
            <w:r>
              <w:rPr>
                <w:sz w:val="20"/>
                <w:szCs w:val="20"/>
              </w:rPr>
              <w:t>Програм</w:t>
            </w:r>
          </w:p>
        </w:tc>
        <w:tc>
          <w:tcPr>
            <w:tcW w:w="754"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sz w:val="20"/>
                <w:szCs w:val="20"/>
              </w:rPr>
            </w:pPr>
            <w:r>
              <w:rPr>
                <w:sz w:val="20"/>
                <w:szCs w:val="20"/>
              </w:rPr>
              <w:t>Проје.</w:t>
            </w:r>
          </w:p>
        </w:tc>
        <w:tc>
          <w:tcPr>
            <w:tcW w:w="861"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sz w:val="20"/>
                <w:szCs w:val="20"/>
              </w:rPr>
            </w:pPr>
            <w:r>
              <w:rPr>
                <w:sz w:val="20"/>
                <w:szCs w:val="20"/>
              </w:rPr>
              <w:t>Ек.клас</w:t>
            </w:r>
          </w:p>
        </w:tc>
        <w:tc>
          <w:tcPr>
            <w:tcW w:w="2083"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sz w:val="20"/>
                <w:szCs w:val="20"/>
              </w:rPr>
            </w:pPr>
            <w:r>
              <w:rPr>
                <w:sz w:val="20"/>
                <w:szCs w:val="20"/>
              </w:rPr>
              <w:t>Опис конта</w:t>
            </w:r>
          </w:p>
        </w:tc>
        <w:tc>
          <w:tcPr>
            <w:tcW w:w="1433" w:type="dxa"/>
            <w:tcBorders>
              <w:top w:val="single" w:sz="8" w:space="0" w:color="000000"/>
              <w:left w:val="single" w:sz="4" w:space="0" w:color="000000"/>
              <w:bottom w:val="single" w:sz="4" w:space="0" w:color="000000"/>
            </w:tcBorders>
            <w:shd w:color="auto" w:fill="auto" w:val="clear"/>
            <w:vAlign w:val="center"/>
          </w:tcPr>
          <w:p>
            <w:pPr>
              <w:pStyle w:val="Normal"/>
              <w:bidi w:val="0"/>
              <w:jc w:val="both"/>
              <w:rPr>
                <w:sz w:val="16"/>
                <w:szCs w:val="16"/>
              </w:rPr>
            </w:pPr>
            <w:r>
              <w:rPr>
                <w:sz w:val="16"/>
                <w:szCs w:val="16"/>
              </w:rPr>
              <w:t>Сред.одобрена за 2019.год Законм о буџету</w:t>
            </w:r>
          </w:p>
        </w:tc>
        <w:tc>
          <w:tcPr>
            <w:tcW w:w="1154" w:type="dxa"/>
            <w:tcBorders>
              <w:top w:val="single" w:sz="8" w:space="0" w:color="000000"/>
              <w:left w:val="single" w:sz="4" w:space="0" w:color="000000"/>
              <w:bottom w:val="single" w:sz="4" w:space="0" w:color="000000"/>
            </w:tcBorders>
            <w:shd w:color="auto" w:fill="auto" w:val="clear"/>
            <w:vAlign w:val="center"/>
          </w:tcPr>
          <w:p>
            <w:pPr>
              <w:pStyle w:val="Normal"/>
              <w:bidi w:val="0"/>
              <w:jc w:val="both"/>
              <w:rPr/>
            </w:pPr>
            <w:r>
              <w:rPr>
                <w:sz w:val="16"/>
                <w:szCs w:val="16"/>
              </w:rPr>
              <w:t>Реализација до 3</w:t>
            </w:r>
            <w:r>
              <w:rPr>
                <w:sz w:val="16"/>
                <w:szCs w:val="16"/>
                <w:lang w:val="en-GB"/>
              </w:rPr>
              <w:t>1.12</w:t>
            </w:r>
            <w:r>
              <w:rPr>
                <w:sz w:val="16"/>
                <w:szCs w:val="16"/>
              </w:rPr>
              <w:t>.2019</w:t>
            </w:r>
          </w:p>
        </w:tc>
        <w:tc>
          <w:tcPr>
            <w:tcW w:w="929" w:type="dxa"/>
            <w:tcBorders>
              <w:top w:val="single" w:sz="8" w:space="0" w:color="000000"/>
              <w:left w:val="single" w:sz="4" w:space="0" w:color="000000"/>
              <w:bottom w:val="single" w:sz="4" w:space="0" w:color="000000"/>
              <w:right w:val="single" w:sz="8" w:space="0" w:color="000000"/>
            </w:tcBorders>
            <w:shd w:color="auto" w:fill="auto" w:val="clear"/>
            <w:vAlign w:val="center"/>
          </w:tcPr>
          <w:p>
            <w:pPr>
              <w:pStyle w:val="Normal"/>
              <w:bidi w:val="0"/>
              <w:jc w:val="both"/>
              <w:rPr>
                <w:sz w:val="16"/>
                <w:szCs w:val="16"/>
              </w:rPr>
            </w:pPr>
            <w:r>
              <w:rPr>
                <w:sz w:val="16"/>
                <w:szCs w:val="16"/>
              </w:rPr>
              <w:t>Проценат извршења</w:t>
            </w:r>
          </w:p>
        </w:tc>
      </w:tr>
      <w:tr>
        <w:trPr>
          <w:trHeight w:val="34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411</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Плате и додаци</w:t>
            </w:r>
          </w:p>
        </w:tc>
        <w:tc>
          <w:tcPr>
            <w:tcW w:w="1433"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4.684.</w:t>
            </w:r>
            <w:r>
              <w:rPr>
                <w:rFonts w:cs="Arial" w:ascii="Arial" w:hAnsi="Arial"/>
                <w:sz w:val="16"/>
                <w:szCs w:val="16"/>
              </w:rPr>
              <w:t>000.00</w:t>
            </w:r>
          </w:p>
        </w:tc>
        <w:tc>
          <w:tcPr>
            <w:tcW w:w="11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4.628.484,24</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450"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412</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Соц.доп.на терет посл.</w:t>
            </w:r>
          </w:p>
        </w:tc>
        <w:tc>
          <w:tcPr>
            <w:tcW w:w="1433"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807.6</w:t>
            </w:r>
            <w:r>
              <w:rPr>
                <w:rFonts w:cs="Arial" w:ascii="Arial" w:hAnsi="Arial"/>
                <w:sz w:val="16"/>
                <w:szCs w:val="16"/>
              </w:rPr>
              <w:t>00,00</w:t>
            </w:r>
          </w:p>
        </w:tc>
        <w:tc>
          <w:tcPr>
            <w:tcW w:w="11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794.415,22</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25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413</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Накнаде у натури</w:t>
            </w:r>
          </w:p>
        </w:tc>
        <w:tc>
          <w:tcPr>
            <w:tcW w:w="1433"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8</w:t>
            </w:r>
            <w:r>
              <w:rPr>
                <w:rFonts w:cs="Arial" w:ascii="Arial" w:hAnsi="Arial"/>
                <w:sz w:val="16"/>
                <w:szCs w:val="16"/>
              </w:rPr>
              <w:t>,000,00</w:t>
            </w:r>
          </w:p>
        </w:tc>
        <w:tc>
          <w:tcPr>
            <w:tcW w:w="1154"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8.000</w:t>
            </w:r>
            <w:r>
              <w:rPr>
                <w:rFonts w:cs="Arial" w:ascii="Arial" w:hAnsi="Arial"/>
                <w:sz w:val="16"/>
                <w:szCs w:val="16"/>
              </w:rPr>
              <w:t>.00</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w:t>
            </w:r>
            <w:r>
              <w:rPr>
                <w:rFonts w:cs="Arial" w:ascii="Arial" w:hAnsi="Arial"/>
                <w:sz w:val="16"/>
                <w:szCs w:val="16"/>
              </w:rPr>
              <w:t>0%</w:t>
            </w:r>
          </w:p>
        </w:tc>
      </w:tr>
      <w:tr>
        <w:trPr>
          <w:trHeight w:val="25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414</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Соц. Давања</w:t>
            </w:r>
          </w:p>
        </w:tc>
        <w:tc>
          <w:tcPr>
            <w:tcW w:w="1433"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1,000.00</w:t>
            </w:r>
          </w:p>
        </w:tc>
        <w:tc>
          <w:tcPr>
            <w:tcW w:w="11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0.00</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w:t>
            </w:r>
          </w:p>
        </w:tc>
      </w:tr>
      <w:tr>
        <w:trPr>
          <w:trHeight w:val="25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415</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Накн.тр.запосл.</w:t>
            </w:r>
          </w:p>
        </w:tc>
        <w:tc>
          <w:tcPr>
            <w:tcW w:w="1433"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49.020</w:t>
            </w:r>
            <w:r>
              <w:rPr>
                <w:rFonts w:cs="Arial" w:ascii="Arial" w:hAnsi="Arial"/>
                <w:sz w:val="16"/>
                <w:szCs w:val="16"/>
              </w:rPr>
              <w:t>.00</w:t>
            </w:r>
          </w:p>
        </w:tc>
        <w:tc>
          <w:tcPr>
            <w:tcW w:w="1154"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49.020</w:t>
            </w:r>
            <w:r>
              <w:rPr>
                <w:rFonts w:cs="Arial" w:ascii="Arial" w:hAnsi="Arial"/>
                <w:sz w:val="16"/>
                <w:szCs w:val="16"/>
              </w:rPr>
              <w:t>.00</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450"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416</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Нагр.запосл.и ост.рас.</w:t>
            </w:r>
          </w:p>
        </w:tc>
        <w:tc>
          <w:tcPr>
            <w:tcW w:w="1433"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1.000.00</w:t>
            </w:r>
          </w:p>
        </w:tc>
        <w:tc>
          <w:tcPr>
            <w:tcW w:w="11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0.00</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w:t>
            </w:r>
          </w:p>
        </w:tc>
      </w:tr>
      <w:tr>
        <w:trPr>
          <w:trHeight w:val="25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421</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Стални трошкови</w:t>
            </w:r>
          </w:p>
        </w:tc>
        <w:tc>
          <w:tcPr>
            <w:tcW w:w="1433"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221,000.00</w:t>
            </w:r>
          </w:p>
        </w:tc>
        <w:tc>
          <w:tcPr>
            <w:tcW w:w="11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215.455,36</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99,32</w:t>
            </w:r>
            <w:r>
              <w:rPr>
                <w:rFonts w:cs="Arial" w:ascii="Arial" w:hAnsi="Arial"/>
                <w:sz w:val="16"/>
                <w:szCs w:val="16"/>
              </w:rPr>
              <w:t>%</w:t>
            </w:r>
          </w:p>
        </w:tc>
      </w:tr>
      <w:tr>
        <w:trPr>
          <w:trHeight w:val="25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422</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Трошкови путовања</w:t>
            </w:r>
          </w:p>
        </w:tc>
        <w:tc>
          <w:tcPr>
            <w:tcW w:w="1433"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30.000,00</w:t>
            </w:r>
          </w:p>
        </w:tc>
        <w:tc>
          <w:tcPr>
            <w:tcW w:w="11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28.000.00</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93,33%</w:t>
            </w:r>
          </w:p>
        </w:tc>
      </w:tr>
      <w:tr>
        <w:trPr>
          <w:trHeight w:val="255"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423</w:t>
            </w:r>
          </w:p>
        </w:tc>
        <w:tc>
          <w:tcPr>
            <w:tcW w:w="2083"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Услуге по уговору</w:t>
            </w:r>
          </w:p>
        </w:tc>
        <w:tc>
          <w:tcPr>
            <w:tcW w:w="1433"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3.200.000.00</w:t>
            </w:r>
          </w:p>
        </w:tc>
        <w:tc>
          <w:tcPr>
            <w:tcW w:w="1154"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rPr>
              <w:t>3.</w:t>
            </w:r>
            <w:r>
              <w:rPr>
                <w:rFonts w:cs="Arial" w:ascii="Arial" w:hAnsi="Arial"/>
                <w:sz w:val="16"/>
                <w:szCs w:val="16"/>
                <w:lang w:val="en-GB"/>
              </w:rPr>
              <w:t>194.924,14</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450" w:hRule="atLeast"/>
        </w:trPr>
        <w:tc>
          <w:tcPr>
            <w:tcW w:w="719"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425</w:t>
            </w:r>
          </w:p>
        </w:tc>
        <w:tc>
          <w:tcPr>
            <w:tcW w:w="2083" w:type="dxa"/>
            <w:tcBorders>
              <w:left w:val="single" w:sz="4" w:space="0" w:color="000000"/>
              <w:bottom w:val="single" w:sz="4" w:space="0" w:color="000000"/>
            </w:tcBorders>
            <w:shd w:color="auto" w:fill="auto" w:val="clear"/>
            <w:vAlign w:val="bottom"/>
          </w:tcPr>
          <w:p>
            <w:pPr>
              <w:pStyle w:val="Normal"/>
              <w:bidi w:val="0"/>
              <w:jc w:val="center"/>
              <w:rPr/>
            </w:pPr>
            <w:r>
              <w:rPr>
                <w:rFonts w:eastAsia="Arial" w:cs="Arial" w:ascii="Arial" w:hAnsi="Arial"/>
                <w:sz w:val="16"/>
                <w:szCs w:val="16"/>
              </w:rPr>
              <w:t xml:space="preserve"> </w:t>
            </w:r>
            <w:r>
              <w:rPr>
                <w:rFonts w:cs="Arial" w:ascii="Arial" w:hAnsi="Arial"/>
                <w:sz w:val="16"/>
                <w:szCs w:val="16"/>
              </w:rPr>
              <w:t>Текуће поправке и одржавање</w:t>
            </w:r>
          </w:p>
        </w:tc>
        <w:tc>
          <w:tcPr>
            <w:tcW w:w="1433"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60.000.00</w:t>
            </w:r>
          </w:p>
        </w:tc>
        <w:tc>
          <w:tcPr>
            <w:tcW w:w="1154"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24.180,0</w:t>
            </w:r>
            <w:r>
              <w:rPr>
                <w:rFonts w:cs="Arial" w:ascii="Arial" w:hAnsi="Arial"/>
                <w:sz w:val="16"/>
                <w:szCs w:val="16"/>
              </w:rPr>
              <w:t>0</w:t>
            </w:r>
          </w:p>
        </w:tc>
        <w:tc>
          <w:tcPr>
            <w:tcW w:w="92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31.50%</w:t>
            </w:r>
          </w:p>
        </w:tc>
      </w:tr>
      <w:tr>
        <w:trPr>
          <w:trHeight w:val="255" w:hRule="atLeast"/>
        </w:trPr>
        <w:tc>
          <w:tcPr>
            <w:tcW w:w="719" w:type="dxa"/>
            <w:tcBorders>
              <w:lef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426</w:t>
            </w:r>
          </w:p>
        </w:tc>
        <w:tc>
          <w:tcPr>
            <w:tcW w:w="2083" w:type="dxa"/>
            <w:tcBorders>
              <w:left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Материјал</w:t>
            </w:r>
          </w:p>
        </w:tc>
        <w:tc>
          <w:tcPr>
            <w:tcW w:w="1433"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250.000.00</w:t>
            </w:r>
          </w:p>
        </w:tc>
        <w:tc>
          <w:tcPr>
            <w:tcW w:w="1154" w:type="dxa"/>
            <w:tcBorders>
              <w:left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224.203,20</w:t>
            </w:r>
          </w:p>
        </w:tc>
        <w:tc>
          <w:tcPr>
            <w:tcW w:w="929" w:type="dxa"/>
            <w:tcBorders>
              <w:left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99,32</w:t>
            </w:r>
            <w:r>
              <w:rPr>
                <w:rFonts w:cs="Arial" w:ascii="Arial" w:hAnsi="Arial"/>
                <w:sz w:val="16"/>
                <w:szCs w:val="16"/>
              </w:rPr>
              <w:t>%</w:t>
            </w:r>
          </w:p>
        </w:tc>
      </w:tr>
      <w:tr>
        <w:trPr>
          <w:trHeight w:val="450" w:hRule="atLeast"/>
        </w:trPr>
        <w:tc>
          <w:tcPr>
            <w:tcW w:w="719" w:type="dxa"/>
            <w:tcBorders>
              <w:top w:val="single" w:sz="4" w:space="0" w:color="000000"/>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top w:val="single" w:sz="4"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top w:val="single" w:sz="4"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top w:val="single" w:sz="4"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top w:val="single" w:sz="4"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482</w:t>
            </w:r>
          </w:p>
        </w:tc>
        <w:tc>
          <w:tcPr>
            <w:tcW w:w="2083" w:type="dxa"/>
            <w:tcBorders>
              <w:top w:val="single" w:sz="4" w:space="0" w:color="000000"/>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Порези, обавезе, таксе</w:t>
            </w:r>
          </w:p>
        </w:tc>
        <w:tc>
          <w:tcPr>
            <w:tcW w:w="1433" w:type="dxa"/>
            <w:tcBorders>
              <w:top w:val="single" w:sz="4"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25.000.00</w:t>
            </w:r>
          </w:p>
        </w:tc>
        <w:tc>
          <w:tcPr>
            <w:tcW w:w="1154" w:type="dxa"/>
            <w:tcBorders>
              <w:top w:val="single" w:sz="4"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14.918,86</w:t>
            </w:r>
          </w:p>
        </w:tc>
        <w:tc>
          <w:tcPr>
            <w:tcW w:w="929" w:type="dxa"/>
            <w:tcBorders>
              <w:top w:val="single" w:sz="4" w:space="0" w:color="000000"/>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59,68%</w:t>
            </w:r>
          </w:p>
        </w:tc>
      </w:tr>
      <w:tr>
        <w:trPr>
          <w:trHeight w:val="465" w:hRule="atLeast"/>
        </w:trPr>
        <w:tc>
          <w:tcPr>
            <w:tcW w:w="719" w:type="dxa"/>
            <w:tcBorders>
              <w:left w:val="single" w:sz="8" w:space="0" w:color="000000"/>
              <w:bottom w:val="single" w:sz="8" w:space="0" w:color="000000"/>
              <w:righ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1" w:type="dxa"/>
            <w:tcBorders>
              <w:left w:val="single" w:sz="4" w:space="0" w:color="000000"/>
              <w:bottom w:val="single" w:sz="8" w:space="0" w:color="000000"/>
              <w:righ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61" w:type="dxa"/>
            <w:tcBorders>
              <w:left w:val="single" w:sz="4" w:space="0" w:color="000000"/>
              <w:bottom w:val="single" w:sz="8" w:space="0" w:color="000000"/>
              <w:righ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54" w:type="dxa"/>
            <w:tcBorders>
              <w:left w:val="single" w:sz="4" w:space="0" w:color="000000"/>
              <w:bottom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0013</w:t>
            </w:r>
          </w:p>
        </w:tc>
        <w:tc>
          <w:tcPr>
            <w:tcW w:w="861" w:type="dxa"/>
            <w:tcBorders>
              <w:left w:val="single" w:sz="4" w:space="0" w:color="000000"/>
              <w:bottom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483</w:t>
            </w:r>
          </w:p>
        </w:tc>
        <w:tc>
          <w:tcPr>
            <w:tcW w:w="2083" w:type="dxa"/>
            <w:tcBorders>
              <w:left w:val="single" w:sz="4" w:space="0" w:color="000000"/>
              <w:bottom w:val="single" w:sz="8"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Новчане казне и пенали по решењу</w:t>
            </w:r>
          </w:p>
        </w:tc>
        <w:tc>
          <w:tcPr>
            <w:tcW w:w="1433" w:type="dxa"/>
            <w:tcBorders>
              <w:left w:val="single" w:sz="4" w:space="0" w:color="000000"/>
              <w:bottom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54.000,00</w:t>
            </w:r>
          </w:p>
        </w:tc>
        <w:tc>
          <w:tcPr>
            <w:tcW w:w="1154" w:type="dxa"/>
            <w:tcBorders>
              <w:left w:val="single" w:sz="4" w:space="0" w:color="000000"/>
              <w:bottom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52.944,81</w:t>
            </w:r>
          </w:p>
        </w:tc>
        <w:tc>
          <w:tcPr>
            <w:tcW w:w="929" w:type="dxa"/>
            <w:tcBorders>
              <w:left w:val="single" w:sz="4" w:space="0" w:color="000000"/>
              <w:bottom w:val="single" w:sz="8"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98,05%</w:t>
            </w:r>
          </w:p>
        </w:tc>
      </w:tr>
    </w:tbl>
    <w:p>
      <w:pPr>
        <w:pStyle w:val="Normal"/>
        <w:bidi w:val="0"/>
        <w:jc w:val="both"/>
        <w:rPr>
          <w:i/>
          <w:i/>
          <w:lang w:val="sr-Latn-RS"/>
        </w:rPr>
      </w:pPr>
      <w:r>
        <w:rPr>
          <w:i/>
          <w:lang w:val="sr-Latn-RS"/>
        </w:rPr>
      </w:r>
    </w:p>
    <w:p>
      <w:pPr>
        <w:pStyle w:val="Normal"/>
        <w:bidi w:val="0"/>
        <w:jc w:val="both"/>
        <w:rPr>
          <w:i/>
          <w:i/>
          <w:lang w:val="sr-Latn-RS"/>
        </w:rPr>
      </w:pPr>
      <w:r>
        <w:rPr>
          <w:i/>
          <w:lang w:val="sr-Latn-RS"/>
        </w:rPr>
      </w:r>
    </w:p>
    <w:tbl>
      <w:tblPr>
        <w:tblStyle w:val="11"/>
        <w:tblW w:w="9404" w:type="dxa"/>
        <w:jc w:val="left"/>
        <w:tblInd w:w="82" w:type="dxa"/>
        <w:tblCellMar>
          <w:top w:w="0" w:type="dxa"/>
          <w:left w:w="108" w:type="dxa"/>
          <w:bottom w:w="0" w:type="dxa"/>
          <w:right w:w="108" w:type="dxa"/>
        </w:tblCellMar>
      </w:tblPr>
      <w:tblGrid>
        <w:gridCol w:w="734"/>
        <w:gridCol w:w="739"/>
        <w:gridCol w:w="930"/>
        <w:gridCol w:w="730"/>
        <w:gridCol w:w="901"/>
        <w:gridCol w:w="1497"/>
        <w:gridCol w:w="1632"/>
        <w:gridCol w:w="1231"/>
        <w:gridCol w:w="1009"/>
      </w:tblGrid>
      <w:tr>
        <w:trPr>
          <w:trHeight w:val="255" w:hRule="atLeast"/>
        </w:trPr>
        <w:tc>
          <w:tcPr>
            <w:tcW w:w="734" w:type="dxa"/>
            <w:tcBorders>
              <w:top w:val="single" w:sz="8" w:space="0" w:color="000000"/>
              <w:left w:val="single" w:sz="8" w:space="0" w:color="000000"/>
              <w:bottom w:val="single" w:sz="4" w:space="0" w:color="000000"/>
            </w:tcBorders>
            <w:shd w:color="auto" w:fill="auto" w:val="clear"/>
            <w:vAlign w:val="bottom"/>
          </w:tcPr>
          <w:p>
            <w:pPr>
              <w:pStyle w:val="Normal"/>
              <w:bidi w:val="0"/>
              <w:jc w:val="right"/>
              <w:rPr>
                <w:rFonts w:ascii="Arial" w:hAnsi="Arial" w:cs="Arial"/>
                <w:b/>
                <w:b/>
                <w:sz w:val="16"/>
                <w:szCs w:val="16"/>
              </w:rPr>
            </w:pPr>
            <w:r>
              <w:rPr>
                <w:rFonts w:cs="Arial" w:ascii="Arial" w:hAnsi="Arial"/>
                <w:b/>
                <w:sz w:val="16"/>
                <w:szCs w:val="16"/>
              </w:rPr>
              <w:t>Функ</w:t>
            </w:r>
          </w:p>
        </w:tc>
        <w:tc>
          <w:tcPr>
            <w:tcW w:w="739"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Извор</w:t>
            </w:r>
          </w:p>
        </w:tc>
        <w:tc>
          <w:tcPr>
            <w:tcW w:w="930"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Програм</w:t>
            </w:r>
          </w:p>
        </w:tc>
        <w:tc>
          <w:tcPr>
            <w:tcW w:w="730"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Проје.</w:t>
            </w:r>
          </w:p>
        </w:tc>
        <w:tc>
          <w:tcPr>
            <w:tcW w:w="901"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Ек.клас</w:t>
            </w:r>
          </w:p>
        </w:tc>
        <w:tc>
          <w:tcPr>
            <w:tcW w:w="1497"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Опис конта</w:t>
            </w:r>
          </w:p>
        </w:tc>
        <w:tc>
          <w:tcPr>
            <w:tcW w:w="1632"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Сред.одобрена за 2019.год Законм о буџету</w:t>
            </w:r>
          </w:p>
        </w:tc>
        <w:tc>
          <w:tcPr>
            <w:tcW w:w="1231"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rPr>
              <w:t>Реализација до 3</w:t>
            </w:r>
            <w:r>
              <w:rPr>
                <w:rFonts w:cs="Arial" w:ascii="Arial" w:hAnsi="Arial"/>
                <w:sz w:val="16"/>
                <w:szCs w:val="16"/>
                <w:lang w:val="en-GB"/>
              </w:rPr>
              <w:t>1.12</w:t>
            </w:r>
            <w:r>
              <w:rPr>
                <w:rFonts w:cs="Arial" w:ascii="Arial" w:hAnsi="Arial"/>
                <w:sz w:val="16"/>
                <w:szCs w:val="16"/>
              </w:rPr>
              <w:t>.2019</w:t>
            </w:r>
          </w:p>
        </w:tc>
        <w:tc>
          <w:tcPr>
            <w:tcW w:w="1009" w:type="dxa"/>
            <w:tcBorders>
              <w:top w:val="single" w:sz="8" w:space="0" w:color="000000"/>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Проценат извршења</w:t>
            </w:r>
          </w:p>
        </w:tc>
      </w:tr>
      <w:tr>
        <w:trPr>
          <w:trHeight w:val="223" w:hRule="atLeast"/>
        </w:trPr>
        <w:tc>
          <w:tcPr>
            <w:tcW w:w="734" w:type="dxa"/>
            <w:tcBorders>
              <w:top w:val="single" w:sz="8" w:space="0" w:color="000000"/>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30"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411</w:t>
            </w:r>
          </w:p>
        </w:tc>
        <w:tc>
          <w:tcPr>
            <w:tcW w:w="1497" w:type="dxa"/>
            <w:tcBorders>
              <w:top w:val="single" w:sz="8" w:space="0" w:color="000000"/>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Плате и додаци</w:t>
            </w:r>
          </w:p>
        </w:tc>
        <w:tc>
          <w:tcPr>
            <w:tcW w:w="1632"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3.041.397</w:t>
            </w:r>
            <w:r>
              <w:rPr>
                <w:rFonts w:cs="Arial" w:ascii="Arial" w:hAnsi="Arial"/>
                <w:sz w:val="16"/>
                <w:szCs w:val="16"/>
              </w:rPr>
              <w:t>.</w:t>
            </w:r>
            <w:r>
              <w:rPr>
                <w:rFonts w:cs="Arial" w:ascii="Arial" w:hAnsi="Arial"/>
                <w:sz w:val="16"/>
                <w:szCs w:val="16"/>
                <w:lang w:val="en-GB"/>
              </w:rPr>
              <w:t>32</w:t>
            </w:r>
          </w:p>
        </w:tc>
        <w:tc>
          <w:tcPr>
            <w:tcW w:w="1231" w:type="dxa"/>
            <w:tcBorders>
              <w:top w:val="single" w:sz="8" w:space="0" w:color="000000"/>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3.041.377,60</w:t>
            </w:r>
          </w:p>
        </w:tc>
        <w:tc>
          <w:tcPr>
            <w:tcW w:w="1009" w:type="dxa"/>
            <w:tcBorders>
              <w:top w:val="single" w:sz="8" w:space="0" w:color="000000"/>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450"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412</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Соц.доп.на терет посл.</w:t>
            </w:r>
          </w:p>
        </w:tc>
        <w:tc>
          <w:tcPr>
            <w:tcW w:w="1632"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521.599,64</w:t>
            </w:r>
          </w:p>
        </w:tc>
        <w:tc>
          <w:tcPr>
            <w:tcW w:w="12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521.596,27</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413</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Накнаде у натури</w:t>
            </w:r>
          </w:p>
        </w:tc>
        <w:tc>
          <w:tcPr>
            <w:tcW w:w="1632"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8</w:t>
            </w:r>
            <w:r>
              <w:rPr>
                <w:rFonts w:cs="Arial" w:ascii="Arial" w:hAnsi="Arial"/>
                <w:sz w:val="16"/>
                <w:szCs w:val="16"/>
              </w:rPr>
              <w:t>,000.00</w:t>
            </w:r>
          </w:p>
        </w:tc>
        <w:tc>
          <w:tcPr>
            <w:tcW w:w="1231"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8.000</w:t>
            </w:r>
            <w:r>
              <w:rPr>
                <w:rFonts w:cs="Arial" w:ascii="Arial" w:hAnsi="Arial"/>
                <w:sz w:val="16"/>
                <w:szCs w:val="16"/>
              </w:rPr>
              <w:t>00</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w:t>
            </w:r>
            <w:r>
              <w:rPr>
                <w:rFonts w:cs="Arial" w:ascii="Arial" w:hAnsi="Arial"/>
                <w:sz w:val="16"/>
                <w:szCs w:val="16"/>
              </w:rPr>
              <w:t>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04</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414</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Соц.давања</w:t>
            </w:r>
          </w:p>
        </w:tc>
        <w:tc>
          <w:tcPr>
            <w:tcW w:w="1632"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262.769,00</w:t>
            </w:r>
          </w:p>
        </w:tc>
        <w:tc>
          <w:tcPr>
            <w:tcW w:w="12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262.769,00</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100%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01</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415</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Накн.тр.запосл</w:t>
            </w:r>
          </w:p>
        </w:tc>
        <w:tc>
          <w:tcPr>
            <w:tcW w:w="1632"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91.722</w:t>
            </w:r>
            <w:r>
              <w:rPr>
                <w:rFonts w:cs="Arial" w:ascii="Arial" w:hAnsi="Arial"/>
                <w:sz w:val="16"/>
                <w:szCs w:val="16"/>
              </w:rPr>
              <w:t>.00</w:t>
            </w:r>
          </w:p>
        </w:tc>
        <w:tc>
          <w:tcPr>
            <w:tcW w:w="12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lang w:val="en-GB"/>
              </w:rPr>
            </w:pPr>
            <w:r>
              <w:rPr>
                <w:rFonts w:cs="Arial" w:ascii="Arial" w:hAnsi="Arial"/>
                <w:sz w:val="16"/>
                <w:szCs w:val="16"/>
                <w:lang w:val="en-GB"/>
              </w:rPr>
              <w:t>91.722.00</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pPr>
            <w:r>
              <w:rPr>
                <w:rFonts w:cs="Arial" w:ascii="Arial" w:hAnsi="Arial"/>
                <w:sz w:val="16"/>
                <w:szCs w:val="16"/>
                <w:lang w:val="en-GB"/>
              </w:rPr>
              <w:t>100</w:t>
            </w:r>
            <w:r>
              <w:rPr>
                <w:rFonts w:cs="Arial" w:ascii="Arial" w:hAnsi="Arial"/>
                <w:sz w:val="16"/>
                <w:szCs w:val="16"/>
              </w:rPr>
              <w:t>%</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04</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415</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Накн.тр.запосл.</w:t>
            </w:r>
          </w:p>
        </w:tc>
        <w:tc>
          <w:tcPr>
            <w:tcW w:w="1632"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34.290.00</w:t>
            </w:r>
          </w:p>
        </w:tc>
        <w:tc>
          <w:tcPr>
            <w:tcW w:w="12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34.290.00</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100%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13</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415</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Накн.тр.запосл.</w:t>
            </w:r>
          </w:p>
        </w:tc>
        <w:tc>
          <w:tcPr>
            <w:tcW w:w="1632"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33.660.00</w:t>
            </w:r>
          </w:p>
        </w:tc>
        <w:tc>
          <w:tcPr>
            <w:tcW w:w="12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33.660.00</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100%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04</w:t>
            </w:r>
          </w:p>
        </w:tc>
        <w:tc>
          <w:tcPr>
            <w:tcW w:w="9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416</w:t>
            </w:r>
          </w:p>
        </w:tc>
        <w:tc>
          <w:tcPr>
            <w:tcW w:w="1497" w:type="dxa"/>
            <w:tcBorders>
              <w:left w:val="single" w:sz="4" w:space="0" w:color="000000"/>
              <w:bottom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Јубилрне награде</w:t>
            </w:r>
          </w:p>
        </w:tc>
        <w:tc>
          <w:tcPr>
            <w:tcW w:w="1632" w:type="dxa"/>
            <w:tcBorders>
              <w:left w:val="single" w:sz="4" w:space="0" w:color="000000"/>
              <w:bottom w:val="single" w:sz="4" w:space="0" w:color="000000"/>
            </w:tcBorders>
            <w:shd w:color="auto" w:fill="auto" w:val="clear"/>
            <w:vAlign w:val="bottom"/>
          </w:tcPr>
          <w:p>
            <w:pPr>
              <w:pStyle w:val="Normal"/>
              <w:bidi w:val="0"/>
              <w:jc w:val="right"/>
              <w:rPr/>
            </w:pPr>
            <w:r>
              <w:rPr>
                <w:rFonts w:cs="Arial" w:ascii="Arial" w:hAnsi="Arial"/>
                <w:sz w:val="16"/>
                <w:szCs w:val="16"/>
                <w:lang w:val="en-GB"/>
              </w:rPr>
              <w:t>0</w:t>
            </w:r>
            <w:r>
              <w:rPr>
                <w:rFonts w:cs="Arial" w:ascii="Arial" w:hAnsi="Arial"/>
                <w:sz w:val="16"/>
                <w:szCs w:val="16"/>
              </w:rPr>
              <w:t>.00</w:t>
            </w:r>
          </w:p>
        </w:tc>
        <w:tc>
          <w:tcPr>
            <w:tcW w:w="1231" w:type="dxa"/>
            <w:tcBorders>
              <w:left w:val="single" w:sz="4" w:space="0" w:color="000000"/>
              <w:bottom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0.00</w:t>
            </w:r>
          </w:p>
        </w:tc>
        <w:tc>
          <w:tcPr>
            <w:tcW w:w="1009" w:type="dxa"/>
            <w:tcBorders>
              <w:left w:val="single" w:sz="4" w:space="0" w:color="000000"/>
              <w:bottom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w:t>
            </w:r>
          </w:p>
        </w:tc>
      </w:tr>
      <w:tr>
        <w:trPr>
          <w:trHeight w:val="255" w:hRule="atLeast"/>
        </w:trPr>
        <w:tc>
          <w:tcPr>
            <w:tcW w:w="734" w:type="dxa"/>
            <w:tcBorders>
              <w:lef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330</w:t>
            </w:r>
          </w:p>
        </w:tc>
        <w:tc>
          <w:tcPr>
            <w:tcW w:w="739"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13</w:t>
            </w:r>
          </w:p>
        </w:tc>
        <w:tc>
          <w:tcPr>
            <w:tcW w:w="930"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1604</w:t>
            </w:r>
          </w:p>
        </w:tc>
        <w:tc>
          <w:tcPr>
            <w:tcW w:w="730"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0014</w:t>
            </w:r>
          </w:p>
        </w:tc>
        <w:tc>
          <w:tcPr>
            <w:tcW w:w="901"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416</w:t>
            </w:r>
          </w:p>
        </w:tc>
        <w:tc>
          <w:tcPr>
            <w:tcW w:w="1497" w:type="dxa"/>
            <w:tcBorders>
              <w:left w:val="single" w:sz="4" w:space="0" w:color="000000"/>
            </w:tcBorders>
            <w:shd w:color="auto" w:fill="auto" w:val="clear"/>
            <w:vAlign w:val="bottom"/>
          </w:tcPr>
          <w:p>
            <w:pPr>
              <w:pStyle w:val="Normal"/>
              <w:bidi w:val="0"/>
              <w:jc w:val="center"/>
              <w:rPr>
                <w:rFonts w:ascii="Arial" w:hAnsi="Arial" w:cs="Arial"/>
                <w:sz w:val="16"/>
                <w:szCs w:val="16"/>
              </w:rPr>
            </w:pPr>
            <w:r>
              <w:rPr>
                <w:rFonts w:cs="Arial" w:ascii="Arial" w:hAnsi="Arial"/>
                <w:sz w:val="16"/>
                <w:szCs w:val="16"/>
              </w:rPr>
              <w:t>Јубилрне награде</w:t>
            </w:r>
          </w:p>
        </w:tc>
        <w:tc>
          <w:tcPr>
            <w:tcW w:w="1632"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0.00</w:t>
            </w:r>
          </w:p>
        </w:tc>
        <w:tc>
          <w:tcPr>
            <w:tcW w:w="1231" w:type="dxa"/>
            <w:tcBorders>
              <w:left w:val="single" w:sz="4"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0.00</w:t>
            </w:r>
          </w:p>
        </w:tc>
        <w:tc>
          <w:tcPr>
            <w:tcW w:w="1009" w:type="dxa"/>
            <w:tcBorders>
              <w:left w:val="single" w:sz="4" w:space="0" w:color="000000"/>
              <w:right w:val="single" w:sz="8" w:space="0" w:color="000000"/>
            </w:tcBorders>
            <w:shd w:color="auto" w:fill="auto" w:val="clear"/>
            <w:vAlign w:val="bottom"/>
          </w:tcPr>
          <w:p>
            <w:pPr>
              <w:pStyle w:val="Normal"/>
              <w:bidi w:val="0"/>
              <w:jc w:val="right"/>
              <w:rPr>
                <w:rFonts w:ascii="Arial" w:hAnsi="Arial" w:cs="Arial"/>
                <w:sz w:val="16"/>
                <w:szCs w:val="16"/>
              </w:rPr>
            </w:pPr>
            <w:r>
              <w:rPr>
                <w:rFonts w:cs="Arial" w:ascii="Arial" w:hAnsi="Arial"/>
                <w:sz w:val="16"/>
                <w:szCs w:val="16"/>
              </w:rPr>
              <w:t>0%</w:t>
            </w:r>
          </w:p>
        </w:tc>
      </w:tr>
      <w:tr>
        <w:trPr>
          <w:trHeight w:val="270" w:hRule="atLeast"/>
        </w:trPr>
        <w:tc>
          <w:tcPr>
            <w:tcW w:w="734" w:type="dxa"/>
            <w:tcBorders>
              <w:top w:val="single" w:sz="4" w:space="0" w:color="000000"/>
              <w:left w:val="single" w:sz="8"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330</w:t>
            </w:r>
          </w:p>
        </w:tc>
        <w:tc>
          <w:tcPr>
            <w:tcW w:w="739" w:type="dxa"/>
            <w:tcBorders>
              <w:top w:val="single" w:sz="4" w:space="0" w:color="000000"/>
              <w:left w:val="single" w:sz="4"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01</w:t>
            </w:r>
          </w:p>
        </w:tc>
        <w:tc>
          <w:tcPr>
            <w:tcW w:w="930" w:type="dxa"/>
            <w:tcBorders>
              <w:top w:val="single" w:sz="4" w:space="0" w:color="000000"/>
              <w:left w:val="single" w:sz="4"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1604</w:t>
            </w:r>
          </w:p>
        </w:tc>
        <w:tc>
          <w:tcPr>
            <w:tcW w:w="730" w:type="dxa"/>
            <w:tcBorders>
              <w:top w:val="single" w:sz="4" w:space="0" w:color="000000"/>
              <w:left w:val="single" w:sz="4"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0014</w:t>
            </w:r>
          </w:p>
        </w:tc>
        <w:tc>
          <w:tcPr>
            <w:tcW w:w="901" w:type="dxa"/>
            <w:tcBorders>
              <w:top w:val="single" w:sz="4" w:space="0" w:color="000000"/>
              <w:left w:val="single" w:sz="4"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512</w:t>
            </w:r>
          </w:p>
        </w:tc>
        <w:tc>
          <w:tcPr>
            <w:tcW w:w="1497" w:type="dxa"/>
            <w:tcBorders>
              <w:top w:val="single" w:sz="4" w:space="0" w:color="000000"/>
              <w:left w:val="single" w:sz="4" w:space="0" w:color="000000"/>
              <w:bottom w:val="single" w:sz="8" w:space="0" w:color="000000"/>
            </w:tcBorders>
            <w:shd w:color="auto" w:fill="auto" w:val="clear"/>
            <w:vAlign w:val="bottom"/>
          </w:tcPr>
          <w:p>
            <w:pPr>
              <w:pStyle w:val="Normal"/>
              <w:bidi w:val="0"/>
              <w:jc w:val="center"/>
              <w:rPr>
                <w:rFonts w:ascii="Times New Roman" w:hAnsi="Times New Roman" w:cs="Times New Roman"/>
                <w:sz w:val="18"/>
                <w:szCs w:val="18"/>
              </w:rPr>
            </w:pPr>
            <w:r>
              <w:rPr>
                <w:rFonts w:cs="Times New Roman"/>
                <w:sz w:val="18"/>
                <w:szCs w:val="18"/>
              </w:rPr>
              <w:t>Опрема</w:t>
            </w:r>
          </w:p>
        </w:tc>
        <w:tc>
          <w:tcPr>
            <w:tcW w:w="1632" w:type="dxa"/>
            <w:tcBorders>
              <w:top w:val="single" w:sz="4" w:space="0" w:color="000000"/>
              <w:left w:val="single" w:sz="4"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100,000.00</w:t>
            </w:r>
          </w:p>
        </w:tc>
        <w:tc>
          <w:tcPr>
            <w:tcW w:w="1231" w:type="dxa"/>
            <w:tcBorders>
              <w:top w:val="single" w:sz="4" w:space="0" w:color="000000"/>
              <w:left w:val="single" w:sz="4" w:space="0" w:color="000000"/>
              <w:bottom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82.410.00</w:t>
            </w:r>
          </w:p>
        </w:tc>
        <w:tc>
          <w:tcPr>
            <w:tcW w:w="1009" w:type="dxa"/>
            <w:tcBorders>
              <w:top w:val="single" w:sz="4" w:space="0" w:color="000000"/>
              <w:left w:val="single" w:sz="4" w:space="0" w:color="000000"/>
              <w:bottom w:val="single" w:sz="8" w:space="0" w:color="000000"/>
              <w:right w:val="single" w:sz="8" w:space="0" w:color="000000"/>
            </w:tcBorders>
            <w:shd w:color="auto" w:fill="auto" w:val="clear"/>
            <w:vAlign w:val="bottom"/>
          </w:tcPr>
          <w:p>
            <w:pPr>
              <w:pStyle w:val="Normal"/>
              <w:bidi w:val="0"/>
              <w:jc w:val="right"/>
              <w:rPr>
                <w:rFonts w:ascii="Times New Roman" w:hAnsi="Times New Roman" w:cs="Times New Roman"/>
                <w:sz w:val="18"/>
                <w:szCs w:val="18"/>
              </w:rPr>
            </w:pPr>
            <w:r>
              <w:rPr>
                <w:rFonts w:cs="Times New Roman"/>
                <w:sz w:val="18"/>
                <w:szCs w:val="18"/>
              </w:rPr>
              <w:t>82,41%</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left"/>
        <w:outlineLvl w:val="0"/>
        <w:rPr>
          <w:b/>
          <w:b/>
          <w:sz w:val="24"/>
        </w:rPr>
      </w:pPr>
      <w:r>
        <w:rPr>
          <w:b/>
          <w:sz w:val="24"/>
        </w:rPr>
      </w:r>
    </w:p>
    <w:p>
      <w:pPr>
        <w:pStyle w:val="Normal"/>
        <w:numPr>
          <w:ilvl w:val="0"/>
          <w:numId w:val="0"/>
        </w:numPr>
        <w:bidi w:val="0"/>
        <w:ind w:left="0" w:right="0" w:hanging="0"/>
        <w:jc w:val="center"/>
        <w:outlineLvl w:val="0"/>
        <w:rPr>
          <w:b/>
          <w:b/>
          <w:sz w:val="24"/>
        </w:rPr>
      </w:pPr>
      <w:bookmarkStart w:id="12" w:name="_Toc517172844"/>
      <w:r>
        <w:rPr>
          <w:b/>
          <w:sz w:val="24"/>
        </w:rPr>
        <w:t>XIII  -  ПОДАЦИ О ИСПЛАЋЕНИМ ПЛАТАМА, ЗАРАДАМА И ДРУГИМ ПРИМАЊИМА</w:t>
      </w:r>
      <w:bookmarkEnd w:id="12"/>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both"/>
        <w:outlineLvl w:val="4"/>
        <w:rPr>
          <w:sz w:val="24"/>
          <w:lang w:val="sr-RS"/>
        </w:rPr>
      </w:pPr>
      <w:r>
        <w:rPr>
          <w:sz w:val="24"/>
        </w:rPr>
        <w:tab/>
        <w:t>Подаци о исплаћеним платама, зарадама и другим примањима у складу са Законом о буџету Републике Србије 201</w:t>
      </w:r>
      <w:r>
        <w:rPr>
          <w:sz w:val="24"/>
          <w:lang w:val="sr-RS"/>
        </w:rPr>
        <w:t>9</w:t>
      </w:r>
      <w:r>
        <w:rPr>
          <w:sz w:val="24"/>
        </w:rPr>
        <w:t xml:space="preserve"> (Сл.Гласник РС, бр.99/2016)</w:t>
      </w:r>
      <w:r>
        <w:rPr>
          <w:sz w:val="24"/>
          <w:lang w:val="sr-RS"/>
        </w:rPr>
        <w:t>.</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Подаци о платама изабраних лица за месец</w:t>
      </w:r>
      <w:r>
        <w:rPr>
          <w:sz w:val="24"/>
          <w:lang w:val="sr-RS"/>
        </w:rPr>
        <w:t xml:space="preserve"> д</w:t>
      </w:r>
      <w:r>
        <w:rPr>
          <w:rFonts w:eastAsia="宋体" w:cs="" w:cstheme="minorBidi" w:eastAsiaTheme="minorEastAsia"/>
          <w:color w:val="000000"/>
          <w:position w:val="0"/>
          <w:sz w:val="24"/>
          <w:sz w:val="24"/>
          <w:u w:val="none"/>
          <w:shd w:fill="auto" w:val="clear"/>
          <w:vertAlign w:val="baseline"/>
          <w:lang w:val="sr-RS"/>
        </w:rPr>
        <w:t>ецембар</w:t>
      </w:r>
      <w:r>
        <w:rPr>
          <w:sz w:val="24"/>
          <w:lang w:val="sr-RS"/>
        </w:rPr>
        <w:t xml:space="preserve"> </w:t>
      </w:r>
      <w:r>
        <w:rPr>
          <w:sz w:val="24"/>
        </w:rPr>
        <w:t>201</w:t>
      </w:r>
      <w:r>
        <w:rPr>
          <w:sz w:val="24"/>
          <w:lang w:val="sr-RS"/>
        </w:rPr>
        <w:t>9</w:t>
      </w:r>
      <w:r>
        <w:rPr>
          <w:sz w:val="24"/>
        </w:rPr>
        <w:t>. године:</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pPr w:vertAnchor="text" w:horzAnchor="margin" w:tblpXSpec="center" w:leftFromText="180" w:rightFromText="180" w:tblpY="-2"/>
        <w:tblW w:w="6771" w:type="dxa"/>
        <w:jc w:val="center"/>
        <w:tblInd w:w="0" w:type="dxa"/>
        <w:tblCellMar>
          <w:top w:w="0" w:type="dxa"/>
          <w:left w:w="108" w:type="dxa"/>
          <w:bottom w:w="0" w:type="dxa"/>
          <w:right w:w="108" w:type="dxa"/>
        </w:tblCellMar>
      </w:tblPr>
      <w:tblGrid>
        <w:gridCol w:w="3935"/>
        <w:gridCol w:w="2835"/>
      </w:tblGrid>
      <w:tr>
        <w:trPr>
          <w:trHeight w:val="675" w:hRule="atLeast"/>
        </w:trPr>
        <w:tc>
          <w:tcPr>
            <w:tcW w:w="3935" w:type="dxa"/>
            <w:tcBorders>
              <w:top w:val="single" w:sz="8" w:space="0" w:color="000000"/>
              <w:left w:val="single" w:sz="8" w:space="0" w:color="000000"/>
              <w:bottom w:val="single" w:sz="4" w:space="0" w:color="000000"/>
              <w:right w:val="single" w:sz="4" w:space="0" w:color="000000"/>
            </w:tcBorders>
            <w:vAlign w:val="center"/>
          </w:tcPr>
          <w:p>
            <w:pPr>
              <w:pStyle w:val="Normal"/>
              <w:bidi w:val="0"/>
              <w:jc w:val="center"/>
              <w:rPr>
                <w:rFonts w:ascii="Arial" w:hAnsi="Arial" w:cs="Arial"/>
                <w:b/>
                <w:b/>
                <w:bCs/>
                <w:sz w:val="20"/>
                <w:szCs w:val="20"/>
              </w:rPr>
            </w:pPr>
            <w:r>
              <w:rPr>
                <w:rFonts w:cs="Arial" w:ascii="Arial" w:hAnsi="Arial"/>
                <w:b/>
                <w:bCs/>
                <w:sz w:val="20"/>
                <w:szCs w:val="20"/>
              </w:rPr>
              <w:t>Функција</w:t>
            </w:r>
          </w:p>
        </w:tc>
        <w:tc>
          <w:tcPr>
            <w:tcW w:w="2835" w:type="dxa"/>
            <w:tcBorders>
              <w:top w:val="single" w:sz="8" w:space="0" w:color="000000"/>
              <w:bottom w:val="single" w:sz="4" w:space="0" w:color="000000"/>
              <w:right w:val="single" w:sz="8" w:space="0" w:color="000000"/>
            </w:tcBorders>
            <w:vAlign w:val="center"/>
          </w:tcPr>
          <w:p>
            <w:pPr>
              <w:pStyle w:val="Normal"/>
              <w:bidi w:val="0"/>
              <w:jc w:val="both"/>
              <w:rPr>
                <w:rFonts w:ascii="Arial" w:hAnsi="Arial" w:cs="Arial"/>
                <w:b/>
                <w:b/>
                <w:bCs/>
                <w:sz w:val="20"/>
                <w:szCs w:val="20"/>
              </w:rPr>
            </w:pPr>
            <w:r>
              <w:rPr>
                <w:rFonts w:cs="Arial" w:ascii="Arial" w:hAnsi="Arial"/>
                <w:b/>
                <w:bCs/>
                <w:sz w:val="20"/>
                <w:szCs w:val="20"/>
              </w:rPr>
              <w:t>Нето плата без минулог рада у (динарима)</w:t>
            </w:r>
          </w:p>
        </w:tc>
      </w:tr>
      <w:tr>
        <w:trPr>
          <w:trHeight w:val="492" w:hRule="atLeast"/>
        </w:trPr>
        <w:tc>
          <w:tcPr>
            <w:tcW w:w="3935" w:type="dxa"/>
            <w:tcBorders>
              <w:left w:val="single" w:sz="8" w:space="0" w:color="000000"/>
              <w:bottom w:val="single" w:sz="4"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Основни јавни тужилац</w:t>
            </w:r>
          </w:p>
        </w:tc>
        <w:tc>
          <w:tcPr>
            <w:tcW w:w="2835" w:type="dxa"/>
            <w:tcBorders>
              <w:bottom w:val="single" w:sz="4" w:space="0" w:color="000000"/>
              <w:right w:val="single" w:sz="8" w:space="0" w:color="000000"/>
            </w:tcBorders>
            <w:vAlign w:val="bottom"/>
          </w:tcPr>
          <w:p>
            <w:pPr>
              <w:pStyle w:val="Normal"/>
              <w:bidi w:val="0"/>
              <w:jc w:val="right"/>
              <w:rPr>
                <w:rFonts w:ascii="Arial" w:hAnsi="Arial" w:cs="Arial"/>
                <w:sz w:val="20"/>
                <w:szCs w:val="20"/>
              </w:rPr>
            </w:pPr>
            <w:r>
              <w:rPr>
                <w:rFonts w:cs="Arial" w:ascii="Arial" w:hAnsi="Arial"/>
                <w:sz w:val="20"/>
                <w:szCs w:val="20"/>
              </w:rPr>
              <w:t>120.573,59</w:t>
            </w:r>
          </w:p>
        </w:tc>
      </w:tr>
      <w:tr>
        <w:trPr>
          <w:trHeight w:val="492" w:hRule="atLeast"/>
        </w:trPr>
        <w:tc>
          <w:tcPr>
            <w:tcW w:w="3935" w:type="dxa"/>
            <w:tcBorders>
              <w:left w:val="single" w:sz="8" w:space="0" w:color="000000"/>
              <w:bottom w:val="single" w:sz="8"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Зам.</w:t>
            </w:r>
            <w:r>
              <w:rPr>
                <w:rFonts w:eastAsia="宋体" w:cs="Arial" w:ascii="Arial" w:hAnsi="Arial" w:eastAsiaTheme="minorEastAsia"/>
                <w:color w:val="000000"/>
                <w:kern w:val="0"/>
                <w:position w:val="0"/>
                <w:sz w:val="20"/>
                <w:sz w:val="20"/>
                <w:szCs w:val="20"/>
                <w:u w:val="none"/>
                <w:shd w:fill="auto" w:val="clear"/>
                <w:vertAlign w:val="baseline"/>
                <w:lang w:val="sr-RS" w:eastAsia="zh-CN" w:bidi="hi-IN"/>
              </w:rPr>
              <w:t>основног</w:t>
            </w:r>
            <w:r>
              <w:rPr>
                <w:rFonts w:cs="Arial" w:ascii="Arial" w:hAnsi="Arial"/>
                <w:sz w:val="20"/>
                <w:szCs w:val="20"/>
              </w:rPr>
              <w:t xml:space="preserve"> јавног тужиоца</w:t>
            </w:r>
          </w:p>
        </w:tc>
        <w:tc>
          <w:tcPr>
            <w:tcW w:w="2835" w:type="dxa"/>
            <w:tcBorders>
              <w:bottom w:val="single" w:sz="8" w:space="0" w:color="000000"/>
              <w:right w:val="single" w:sz="8" w:space="0" w:color="000000"/>
            </w:tcBorders>
            <w:vAlign w:val="bottom"/>
          </w:tcPr>
          <w:p>
            <w:pPr>
              <w:pStyle w:val="Normal"/>
              <w:bidi w:val="0"/>
              <w:jc w:val="right"/>
              <w:rPr>
                <w:rFonts w:ascii="Arial" w:hAnsi="Arial" w:cs="Arial"/>
                <w:sz w:val="20"/>
                <w:szCs w:val="20"/>
              </w:rPr>
            </w:pPr>
            <w:r>
              <w:rPr>
                <w:rFonts w:cs="Arial" w:ascii="Arial" w:hAnsi="Arial"/>
                <w:sz w:val="20"/>
                <w:szCs w:val="20"/>
              </w:rPr>
              <w:t>109.612,35.</w:t>
            </w:r>
          </w:p>
        </w:tc>
      </w:tr>
    </w:tbl>
    <w:p>
      <w:pPr>
        <w:pStyle w:val="Normal"/>
        <w:numPr>
          <w:ilvl w:val="0"/>
          <w:numId w:val="0"/>
        </w:numPr>
        <w:bidi w:val="0"/>
        <w:ind w:left="0" w:right="0" w:hanging="0"/>
        <w:jc w:val="both"/>
        <w:outlineLvl w:val="4"/>
        <w:rPr>
          <w:sz w:val="24"/>
        </w:rPr>
      </w:pPr>
      <w:r/>
      <w:r>
        <w:rPr>
          <w:sz w:val="24"/>
        </w:rPr>
        <w:tab/>
        <w:tab/>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right"/>
        <w:outlineLvl w:val="4"/>
        <w:rPr>
          <w:i/>
          <w:i/>
          <w:sz w:val="24"/>
          <w:u w:val="single"/>
        </w:rPr>
      </w:pPr>
      <w:r>
        <w:rPr>
          <w:i/>
          <w:sz w:val="24"/>
          <w:u w:val="single"/>
        </w:rPr>
      </w:r>
    </w:p>
    <w:p>
      <w:pPr>
        <w:pStyle w:val="Normal"/>
        <w:numPr>
          <w:ilvl w:val="0"/>
          <w:numId w:val="0"/>
        </w:numPr>
        <w:bidi w:val="0"/>
        <w:ind w:left="0" w:right="0" w:hanging="0"/>
        <w:jc w:val="right"/>
        <w:outlineLvl w:val="4"/>
        <w:rPr>
          <w:i/>
          <w:i/>
          <w:sz w:val="24"/>
          <w:u w:val="single"/>
        </w:rPr>
      </w:pPr>
      <w:r>
        <w:rPr>
          <w:i/>
          <w:sz w:val="24"/>
          <w:u w:val="single"/>
        </w:rPr>
      </w:r>
    </w:p>
    <w:p>
      <w:pPr>
        <w:pStyle w:val="Normal"/>
        <w:numPr>
          <w:ilvl w:val="0"/>
          <w:numId w:val="0"/>
        </w:numPr>
        <w:bidi w:val="0"/>
        <w:ind w:left="0" w:right="0" w:hanging="0"/>
        <w:jc w:val="right"/>
        <w:outlineLvl w:val="4"/>
        <w:rPr>
          <w:i/>
          <w:i/>
          <w:sz w:val="24"/>
          <w:u w:val="single"/>
        </w:rPr>
      </w:pPr>
      <w:r>
        <w:rPr>
          <w:i/>
          <w:sz w:val="24"/>
          <w:u w:val="single"/>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Подаци о платама државних службеника и намештеника за месец </w:t>
      </w:r>
      <w:r>
        <w:rPr>
          <w:rFonts w:eastAsia="宋体" w:cs="" w:cstheme="minorBidi" w:eastAsiaTheme="minorEastAsia"/>
          <w:color w:val="000000"/>
          <w:position w:val="0"/>
          <w:sz w:val="24"/>
          <w:sz w:val="24"/>
          <w:u w:val="none"/>
          <w:shd w:fill="auto" w:val="clear"/>
          <w:vertAlign w:val="baseline"/>
          <w:lang w:val="sr-RS"/>
        </w:rPr>
        <w:t xml:space="preserve">децембар </w:t>
      </w:r>
      <w:r>
        <w:rPr>
          <w:sz w:val="24"/>
        </w:rPr>
        <w:t>201</w:t>
      </w:r>
      <w:r>
        <w:rPr>
          <w:sz w:val="24"/>
          <w:lang w:val="sr-RS"/>
        </w:rPr>
        <w:t>9</w:t>
      </w:r>
      <w:r>
        <w:rPr>
          <w:sz w:val="24"/>
        </w:rPr>
        <w:t>. год</w:t>
      </w:r>
      <w:r>
        <w:rPr>
          <w:sz w:val="24"/>
          <w:lang w:val="sr-RS"/>
        </w:rPr>
        <w:t>ине</w:t>
      </w:r>
      <w:r>
        <w:rPr>
          <w:sz w:val="24"/>
        </w:rPr>
        <w:t xml:space="preserve"> </w:t>
      </w:r>
      <w:r>
        <w:rPr>
          <w:sz w:val="24"/>
          <w:lang w:val="sr-RS"/>
        </w:rPr>
        <w:t>п</w:t>
      </w:r>
      <w:r>
        <w:rPr>
          <w:sz w:val="24"/>
        </w:rPr>
        <w:t>рема звањима прописаним Законом о државним службеницима.</w:t>
      </w:r>
    </w:p>
    <w:p>
      <w:pPr>
        <w:pStyle w:val="Normal"/>
        <w:numPr>
          <w:ilvl w:val="0"/>
          <w:numId w:val="0"/>
        </w:numPr>
        <w:bidi w:val="0"/>
        <w:ind w:left="0" w:right="0" w:hanging="0"/>
        <w:jc w:val="both"/>
        <w:outlineLvl w:val="4"/>
        <w:rPr>
          <w:sz w:val="24"/>
        </w:rPr>
      </w:pPr>
      <w:r>
        <w:rPr>
          <w:sz w:val="24"/>
        </w:rPr>
      </w:r>
    </w:p>
    <w:tbl>
      <w:tblPr>
        <w:tblStyle w:val="13"/>
        <w:tblpPr w:vertAnchor="text" w:horzAnchor="page" w:tblpXSpec="center" w:leftFromText="180" w:rightFromText="180" w:tblpY="74"/>
        <w:tblW w:w="8755" w:type="dxa"/>
        <w:jc w:val="center"/>
        <w:tblInd w:w="0" w:type="dxa"/>
        <w:tblCellMar>
          <w:top w:w="0" w:type="dxa"/>
          <w:left w:w="108" w:type="dxa"/>
          <w:bottom w:w="0" w:type="dxa"/>
          <w:right w:w="108" w:type="dxa"/>
        </w:tblCellMar>
      </w:tblPr>
      <w:tblGrid>
        <w:gridCol w:w="2517"/>
        <w:gridCol w:w="3120"/>
        <w:gridCol w:w="3118"/>
      </w:tblGrid>
      <w:tr>
        <w:trPr>
          <w:trHeight w:val="765" w:hRule="atLeast"/>
        </w:trPr>
        <w:tc>
          <w:tcPr>
            <w:tcW w:w="2517" w:type="dxa"/>
            <w:tcBorders>
              <w:top w:val="single" w:sz="8" w:space="0" w:color="000000"/>
              <w:left w:val="single" w:sz="8" w:space="0" w:color="000000"/>
              <w:bottom w:val="single" w:sz="4" w:space="0" w:color="000000"/>
              <w:right w:val="single" w:sz="4" w:space="0" w:color="000000"/>
            </w:tcBorders>
            <w:vAlign w:val="center"/>
          </w:tcPr>
          <w:p>
            <w:pPr>
              <w:pStyle w:val="Normal"/>
              <w:bidi w:val="0"/>
              <w:jc w:val="center"/>
              <w:rPr>
                <w:rFonts w:ascii="Arial" w:hAnsi="Arial" w:cs="Arial"/>
                <w:sz w:val="20"/>
                <w:szCs w:val="20"/>
              </w:rPr>
            </w:pPr>
            <w:r>
              <w:rPr>
                <w:rFonts w:cs="Arial" w:ascii="Arial" w:hAnsi="Arial"/>
                <w:sz w:val="20"/>
                <w:szCs w:val="20"/>
              </w:rPr>
              <w:t>Звање</w:t>
            </w:r>
          </w:p>
        </w:tc>
        <w:tc>
          <w:tcPr>
            <w:tcW w:w="3120" w:type="dxa"/>
            <w:tcBorders>
              <w:top w:val="single" w:sz="8" w:space="0" w:color="000000"/>
              <w:bottom w:val="single" w:sz="4" w:space="0" w:color="000000"/>
              <w:right w:val="single" w:sz="4" w:space="0" w:color="000000"/>
            </w:tcBorders>
            <w:vAlign w:val="center"/>
          </w:tcPr>
          <w:p>
            <w:pPr>
              <w:pStyle w:val="Normal"/>
              <w:bidi w:val="0"/>
              <w:jc w:val="both"/>
              <w:rPr>
                <w:rFonts w:ascii="Arial" w:hAnsi="Arial" w:cs="Arial"/>
                <w:sz w:val="20"/>
                <w:szCs w:val="20"/>
              </w:rPr>
            </w:pPr>
            <w:r>
              <w:rPr>
                <w:rFonts w:cs="Arial" w:ascii="Arial" w:hAnsi="Arial"/>
                <w:sz w:val="20"/>
                <w:szCs w:val="20"/>
              </w:rPr>
              <w:t>Најнижа нето плата без минулог рада (у динарима)</w:t>
            </w:r>
          </w:p>
        </w:tc>
        <w:tc>
          <w:tcPr>
            <w:tcW w:w="3118" w:type="dxa"/>
            <w:tcBorders>
              <w:top w:val="single" w:sz="8" w:space="0" w:color="000000"/>
              <w:bottom w:val="single" w:sz="4" w:space="0" w:color="000000"/>
              <w:right w:val="single" w:sz="8" w:space="0" w:color="000000"/>
            </w:tcBorders>
            <w:vAlign w:val="center"/>
          </w:tcPr>
          <w:p>
            <w:pPr>
              <w:pStyle w:val="Normal"/>
              <w:bidi w:val="0"/>
              <w:jc w:val="both"/>
              <w:rPr>
                <w:rFonts w:ascii="Arial" w:hAnsi="Arial" w:cs="Arial"/>
                <w:sz w:val="20"/>
                <w:szCs w:val="20"/>
              </w:rPr>
            </w:pPr>
            <w:r>
              <w:rPr>
                <w:rFonts w:cs="Arial" w:ascii="Arial" w:hAnsi="Arial"/>
                <w:sz w:val="20"/>
                <w:szCs w:val="20"/>
              </w:rPr>
              <w:t>Највиша нето плата без минулог рада (у динарима)</w:t>
            </w:r>
          </w:p>
        </w:tc>
      </w:tr>
      <w:tr>
        <w:trPr>
          <w:trHeight w:val="348" w:hRule="atLeast"/>
        </w:trPr>
        <w:tc>
          <w:tcPr>
            <w:tcW w:w="2517" w:type="dxa"/>
            <w:tcBorders>
              <w:left w:val="single" w:sz="8" w:space="0" w:color="000000"/>
              <w:bottom w:val="single" w:sz="4"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Самостални саветник</w:t>
            </w:r>
          </w:p>
        </w:tc>
        <w:tc>
          <w:tcPr>
            <w:tcW w:w="3120" w:type="dxa"/>
            <w:tcBorders>
              <w:bottom w:val="single" w:sz="4" w:space="0" w:color="000000"/>
              <w:right w:val="single" w:sz="4" w:space="0" w:color="000000"/>
            </w:tcBorders>
            <w:vAlign w:val="bottom"/>
          </w:tcPr>
          <w:p>
            <w:pPr>
              <w:pStyle w:val="Normal"/>
              <w:bidi w:val="0"/>
              <w:jc w:val="right"/>
              <w:rPr>
                <w:rFonts w:ascii="Arial" w:hAnsi="Arial" w:cs="Arial"/>
                <w:sz w:val="20"/>
                <w:szCs w:val="20"/>
              </w:rPr>
            </w:pPr>
            <w:r>
              <w:rPr>
                <w:rFonts w:cs="Arial" w:ascii="Arial" w:hAnsi="Arial"/>
                <w:sz w:val="20"/>
                <w:szCs w:val="20"/>
              </w:rPr>
              <w:t>72.796,13</w:t>
            </w:r>
          </w:p>
        </w:tc>
        <w:tc>
          <w:tcPr>
            <w:tcW w:w="3118" w:type="dxa"/>
            <w:tcBorders>
              <w:bottom w:val="single" w:sz="4" w:space="0" w:color="000000"/>
              <w:right w:val="single" w:sz="8" w:space="0" w:color="000000"/>
            </w:tcBorders>
            <w:vAlign w:val="bottom"/>
          </w:tcPr>
          <w:p>
            <w:pPr>
              <w:pStyle w:val="Normal"/>
              <w:bidi w:val="0"/>
              <w:jc w:val="right"/>
              <w:rPr>
                <w:rFonts w:ascii="Arial" w:hAnsi="Arial" w:cs="Arial"/>
                <w:sz w:val="20"/>
                <w:szCs w:val="20"/>
              </w:rPr>
            </w:pPr>
            <w:r>
              <w:rPr>
                <w:rFonts w:cs="Arial" w:ascii="Arial" w:hAnsi="Arial"/>
                <w:sz w:val="20"/>
                <w:szCs w:val="20"/>
              </w:rPr>
              <w:t>72.796,13</w:t>
            </w:r>
          </w:p>
        </w:tc>
      </w:tr>
      <w:tr>
        <w:trPr>
          <w:trHeight w:val="348" w:hRule="atLeast"/>
        </w:trPr>
        <w:tc>
          <w:tcPr>
            <w:tcW w:w="2517" w:type="dxa"/>
            <w:tcBorders>
              <w:left w:val="single" w:sz="8" w:space="0" w:color="000000"/>
              <w:bottom w:val="single" w:sz="4"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Саветник</w:t>
            </w:r>
          </w:p>
        </w:tc>
        <w:tc>
          <w:tcPr>
            <w:tcW w:w="3120" w:type="dxa"/>
            <w:tcBorders>
              <w:bottom w:val="single" w:sz="4" w:space="0" w:color="000000"/>
              <w:right w:val="single" w:sz="4" w:space="0" w:color="000000"/>
            </w:tcBorders>
            <w:vAlign w:val="bottom"/>
          </w:tcPr>
          <w:p>
            <w:pPr>
              <w:pStyle w:val="Normal"/>
              <w:bidi w:val="0"/>
              <w:jc w:val="right"/>
              <w:rPr>
                <w:rFonts w:ascii="Arial" w:hAnsi="Arial" w:cs="Arial"/>
                <w:sz w:val="20"/>
                <w:szCs w:val="20"/>
              </w:rPr>
            </w:pPr>
            <w:r>
              <w:rPr>
                <w:rFonts w:cs="Arial" w:ascii="Arial" w:hAnsi="Arial"/>
                <w:sz w:val="20"/>
                <w:szCs w:val="20"/>
              </w:rPr>
              <w:t>58.282,98</w:t>
            </w:r>
          </w:p>
        </w:tc>
        <w:tc>
          <w:tcPr>
            <w:tcW w:w="3118" w:type="dxa"/>
            <w:tcBorders>
              <w:bottom w:val="single" w:sz="4" w:space="0" w:color="000000"/>
              <w:right w:val="single" w:sz="8" w:space="0" w:color="000000"/>
            </w:tcBorders>
            <w:vAlign w:val="bottom"/>
          </w:tcPr>
          <w:p>
            <w:pPr>
              <w:pStyle w:val="Normal"/>
              <w:bidi w:val="0"/>
              <w:jc w:val="right"/>
              <w:rPr>
                <w:rFonts w:ascii="Arial" w:hAnsi="Arial" w:cs="Arial"/>
                <w:sz w:val="20"/>
                <w:szCs w:val="20"/>
              </w:rPr>
            </w:pPr>
            <w:r>
              <w:rPr>
                <w:rFonts w:cs="Arial" w:ascii="Arial" w:hAnsi="Arial"/>
                <w:sz w:val="20"/>
                <w:szCs w:val="20"/>
              </w:rPr>
              <w:t>58.282,98</w:t>
            </w:r>
          </w:p>
        </w:tc>
      </w:tr>
      <w:tr>
        <w:trPr>
          <w:trHeight w:val="348" w:hRule="atLeast"/>
        </w:trPr>
        <w:tc>
          <w:tcPr>
            <w:tcW w:w="2517" w:type="dxa"/>
            <w:tcBorders>
              <w:left w:val="single" w:sz="8" w:space="0" w:color="000000"/>
              <w:bottom w:val="single" w:sz="4"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Референт</w:t>
            </w:r>
          </w:p>
        </w:tc>
        <w:tc>
          <w:tcPr>
            <w:tcW w:w="3120" w:type="dxa"/>
            <w:tcBorders>
              <w:bottom w:val="single" w:sz="4" w:space="0" w:color="000000"/>
              <w:right w:val="single" w:sz="4" w:space="0" w:color="000000"/>
            </w:tcBorders>
            <w:vAlign w:val="bottom"/>
          </w:tcPr>
          <w:p>
            <w:pPr>
              <w:pStyle w:val="Normal"/>
              <w:bidi w:val="0"/>
              <w:jc w:val="right"/>
              <w:rPr>
                <w:rFonts w:ascii="Arial" w:hAnsi="Arial" w:cs="Arial"/>
                <w:sz w:val="20"/>
                <w:szCs w:val="20"/>
              </w:rPr>
            </w:pPr>
            <w:r>
              <w:rPr>
                <w:rFonts w:cs="Arial" w:ascii="Arial" w:hAnsi="Arial"/>
                <w:sz w:val="20"/>
                <w:szCs w:val="20"/>
              </w:rPr>
              <w:t>47.686,07</w:t>
            </w:r>
          </w:p>
        </w:tc>
        <w:tc>
          <w:tcPr>
            <w:tcW w:w="3118" w:type="dxa"/>
            <w:tcBorders>
              <w:bottom w:val="single" w:sz="4" w:space="0" w:color="000000"/>
              <w:right w:val="single" w:sz="8" w:space="0" w:color="000000"/>
            </w:tcBorders>
            <w:vAlign w:val="bottom"/>
          </w:tcPr>
          <w:p>
            <w:pPr>
              <w:pStyle w:val="Normal"/>
              <w:bidi w:val="0"/>
              <w:jc w:val="right"/>
              <w:rPr>
                <w:rFonts w:ascii="Arial" w:hAnsi="Arial" w:cs="Arial"/>
                <w:sz w:val="20"/>
                <w:szCs w:val="20"/>
              </w:rPr>
            </w:pPr>
            <w:r>
              <w:rPr>
                <w:rFonts w:cs="Arial" w:ascii="Arial" w:hAnsi="Arial"/>
                <w:sz w:val="20"/>
                <w:szCs w:val="20"/>
              </w:rPr>
              <w:t>47.686,07</w:t>
            </w:r>
          </w:p>
        </w:tc>
      </w:tr>
      <w:tr>
        <w:trPr>
          <w:trHeight w:val="348" w:hRule="atLeast"/>
        </w:trPr>
        <w:tc>
          <w:tcPr>
            <w:tcW w:w="2517" w:type="dxa"/>
            <w:tcBorders>
              <w:left w:val="single" w:sz="8" w:space="0" w:color="000000"/>
              <w:bottom w:val="single" w:sz="4"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Намештеник</w:t>
            </w:r>
          </w:p>
        </w:tc>
        <w:tc>
          <w:tcPr>
            <w:tcW w:w="3120" w:type="dxa"/>
            <w:tcBorders>
              <w:bottom w:val="single" w:sz="4" w:space="0" w:color="000000"/>
              <w:right w:val="single" w:sz="4" w:space="0" w:color="000000"/>
            </w:tcBorders>
            <w:vAlign w:val="bottom"/>
          </w:tcPr>
          <w:p>
            <w:pPr>
              <w:pStyle w:val="Normal"/>
              <w:keepNext w:val="false"/>
              <w:keepLines w:val="false"/>
              <w:widowControl/>
              <w:shd w:val="clear" w:fill="auto"/>
              <w:suppressAutoHyphens w:val="false"/>
              <w:bidi w:val="0"/>
              <w:spacing w:lineRule="auto" w:line="240" w:beforeAutospacing="0" w:before="0" w:afterAutospacing="0" w:after="0"/>
              <w:ind w:left="0" w:right="0" w:hanging="0"/>
              <w:jc w:val="left"/>
              <w:rPr/>
            </w:pPr>
            <w:r>
              <w:rPr>
                <w:rFonts w:cs="Arial" w:ascii="Arial" w:hAnsi="Arial"/>
                <w:sz w:val="20"/>
                <w:szCs w:val="20"/>
              </w:rPr>
              <w:t xml:space="preserve">Минималац – 27.606,40 </w:t>
            </w:r>
          </w:p>
          <w:p>
            <w:pPr>
              <w:pStyle w:val="Normal"/>
              <w:bidi w:val="0"/>
              <w:jc w:val="left"/>
              <w:rPr>
                <w:rFonts w:ascii="Arial" w:hAnsi="Arial" w:cs="Arial"/>
                <w:sz w:val="20"/>
                <w:szCs w:val="20"/>
              </w:rPr>
            </w:pPr>
            <w:r>
              <w:rPr>
                <w:rFonts w:cs="Arial" w:ascii="Arial" w:hAnsi="Arial"/>
                <w:sz w:val="20"/>
                <w:szCs w:val="20"/>
              </w:rPr>
              <w:t>За 160 часова</w:t>
            </w:r>
          </w:p>
        </w:tc>
        <w:tc>
          <w:tcPr>
            <w:tcW w:w="3118" w:type="dxa"/>
            <w:tcBorders>
              <w:bottom w:val="single" w:sz="4" w:space="0" w:color="000000"/>
              <w:right w:val="single" w:sz="8" w:space="0" w:color="000000"/>
            </w:tcBorders>
            <w:vAlign w:val="bottom"/>
          </w:tcPr>
          <w:p>
            <w:pPr>
              <w:pStyle w:val="Normal"/>
              <w:bidi w:val="0"/>
              <w:jc w:val="center"/>
              <w:rPr>
                <w:rFonts w:ascii="Arial" w:hAnsi="Arial" w:cs="Arial"/>
                <w:sz w:val="20"/>
                <w:szCs w:val="20"/>
              </w:rPr>
            </w:pPr>
            <w:r>
              <w:rPr>
                <w:rFonts w:cs="Arial" w:ascii="Arial" w:hAnsi="Arial"/>
                <w:sz w:val="20"/>
                <w:szCs w:val="20"/>
              </w:rPr>
              <w:t>Минималац -</w:t>
            </w:r>
          </w:p>
          <w:p>
            <w:pPr>
              <w:pStyle w:val="Normal"/>
              <w:bidi w:val="0"/>
              <w:jc w:val="center"/>
              <w:rPr>
                <w:rFonts w:ascii="Arial" w:hAnsi="Arial" w:cs="Arial"/>
                <w:sz w:val="20"/>
                <w:szCs w:val="20"/>
              </w:rPr>
            </w:pPr>
            <w:r>
              <w:rPr>
                <w:rFonts w:cs="Arial" w:ascii="Arial" w:hAnsi="Arial"/>
                <w:sz w:val="20"/>
                <w:szCs w:val="20"/>
              </w:rPr>
              <w:t xml:space="preserve">31.747,36 </w:t>
            </w:r>
          </w:p>
          <w:p>
            <w:pPr>
              <w:pStyle w:val="Normal"/>
              <w:bidi w:val="0"/>
              <w:jc w:val="center"/>
              <w:rPr>
                <w:rFonts w:ascii="Arial" w:hAnsi="Arial" w:cs="Arial"/>
                <w:sz w:val="20"/>
                <w:szCs w:val="20"/>
              </w:rPr>
            </w:pPr>
            <w:r>
              <w:rPr>
                <w:rFonts w:cs="Arial" w:ascii="Arial" w:hAnsi="Arial"/>
                <w:sz w:val="20"/>
                <w:szCs w:val="20"/>
              </w:rPr>
              <w:t>За 184 часова</w:t>
            </w:r>
          </w:p>
          <w:p>
            <w:pPr>
              <w:pStyle w:val="Normal"/>
              <w:bidi w:val="0"/>
              <w:jc w:val="center"/>
              <w:rPr>
                <w:rFonts w:ascii="Arial" w:hAnsi="Arial" w:cs="Arial"/>
                <w:sz w:val="20"/>
                <w:szCs w:val="20"/>
              </w:rPr>
            </w:pPr>
            <w:r>
              <w:rPr>
                <w:rFonts w:cs="Arial" w:ascii="Arial" w:hAnsi="Arial"/>
                <w:sz w:val="20"/>
                <w:szCs w:val="20"/>
              </w:rPr>
            </w:r>
          </w:p>
        </w:tc>
      </w:tr>
      <w:tr>
        <w:trPr>
          <w:trHeight w:val="348" w:hRule="atLeast"/>
        </w:trPr>
        <w:tc>
          <w:tcPr>
            <w:tcW w:w="2517" w:type="dxa"/>
            <w:tcBorders>
              <w:left w:val="single" w:sz="8" w:space="0" w:color="000000"/>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r>
          </w:p>
        </w:tc>
        <w:tc>
          <w:tcPr>
            <w:tcW w:w="3120" w:type="dxa"/>
            <w:tcBorders>
              <w:bottom w:val="single" w:sz="8" w:space="0" w:color="000000"/>
              <w:right w:val="single" w:sz="4" w:space="0" w:color="000000"/>
            </w:tcBorders>
            <w:vAlign w:val="bottom"/>
          </w:tcPr>
          <w:p>
            <w:pPr>
              <w:pStyle w:val="Normal"/>
              <w:bidi w:val="0"/>
              <w:jc w:val="both"/>
              <w:rPr>
                <w:rFonts w:ascii="Arial" w:hAnsi="Arial" w:cs="Arial"/>
                <w:sz w:val="20"/>
                <w:szCs w:val="20"/>
              </w:rPr>
            </w:pPr>
            <w:r>
              <w:rPr>
                <w:rFonts w:cs="Arial" w:ascii="Arial" w:hAnsi="Arial"/>
                <w:sz w:val="20"/>
                <w:szCs w:val="20"/>
              </w:rPr>
            </w:r>
          </w:p>
        </w:tc>
        <w:tc>
          <w:tcPr>
            <w:tcW w:w="3118" w:type="dxa"/>
            <w:tcBorders>
              <w:bottom w:val="single" w:sz="8" w:space="0" w:color="000000"/>
              <w:right w:val="single" w:sz="8" w:space="0" w:color="000000"/>
            </w:tcBorders>
            <w:vAlign w:val="bottom"/>
          </w:tcPr>
          <w:p>
            <w:pPr>
              <w:pStyle w:val="Normal"/>
              <w:bidi w:val="0"/>
              <w:jc w:val="both"/>
              <w:rPr>
                <w:rFonts w:ascii="Arial" w:hAnsi="Arial" w:cs="Arial"/>
                <w:sz w:val="20"/>
                <w:szCs w:val="20"/>
              </w:rPr>
            </w:pPr>
            <w:r>
              <w:rPr>
                <w:rFonts w:cs="Arial" w:ascii="Arial" w:hAnsi="Arial"/>
                <w:sz w:val="20"/>
                <w:szCs w:val="20"/>
              </w:rPr>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bidi w:val="0"/>
        <w:jc w:val="left"/>
        <w:rPr>
          <w:b/>
          <w:b/>
          <w:sz w:val="24"/>
        </w:rPr>
      </w:pPr>
      <w:r>
        <w:rPr>
          <w:b/>
          <w:sz w:val="24"/>
        </w:rPr>
      </w:r>
    </w:p>
    <w:p>
      <w:pPr>
        <w:pStyle w:val="Normal"/>
        <w:numPr>
          <w:ilvl w:val="0"/>
          <w:numId w:val="0"/>
        </w:numPr>
        <w:bidi w:val="0"/>
        <w:ind w:left="0" w:right="0" w:hanging="0"/>
        <w:jc w:val="center"/>
        <w:outlineLvl w:val="0"/>
        <w:rPr>
          <w:b/>
          <w:b/>
          <w:sz w:val="24"/>
        </w:rPr>
      </w:pPr>
      <w:bookmarkStart w:id="13" w:name="_Toc517172845"/>
      <w:r>
        <w:rPr>
          <w:b/>
          <w:sz w:val="24"/>
        </w:rPr>
        <w:t>XIV  -  ПОДАЦИ О ЈАВНИМ НАБАВКАМА</w:t>
      </w:r>
      <w:bookmarkEnd w:id="13"/>
    </w:p>
    <w:p>
      <w:pPr>
        <w:pStyle w:val="Normal"/>
        <w:bidi w:val="0"/>
        <w:jc w:val="center"/>
        <w:rPr>
          <w:sz w:val="24"/>
        </w:rPr>
      </w:pPr>
      <w:r>
        <w:rPr>
          <w:sz w:val="24"/>
        </w:rPr>
      </w:r>
    </w:p>
    <w:p>
      <w:pPr>
        <w:pStyle w:val="Normal"/>
        <w:bidi w:val="0"/>
        <w:jc w:val="center"/>
        <w:rPr>
          <w:sz w:val="24"/>
        </w:rPr>
      </w:pPr>
      <w:r>
        <w:rPr>
          <w:sz w:val="24"/>
        </w:rPr>
      </w:r>
    </w:p>
    <w:p>
      <w:pPr>
        <w:pStyle w:val="Normal"/>
        <w:numPr>
          <w:ilvl w:val="0"/>
          <w:numId w:val="0"/>
        </w:numPr>
        <w:bidi w:val="0"/>
        <w:ind w:left="0" w:right="0" w:hanging="0"/>
        <w:jc w:val="both"/>
        <w:outlineLvl w:val="4"/>
        <w:rPr>
          <w:sz w:val="24"/>
          <w:lang w:val="sr-RS"/>
        </w:rPr>
      </w:pPr>
      <w:r>
        <w:rPr>
          <w:sz w:val="24"/>
        </w:rPr>
        <w:tab/>
        <w:t>У табели је представљен план јавних набавки за 201</w:t>
      </w:r>
      <w:r>
        <w:rPr>
          <w:sz w:val="24"/>
          <w:lang w:val="sr-RS"/>
        </w:rPr>
        <w:t>9</w:t>
      </w:r>
      <w:r>
        <w:rPr>
          <w:sz w:val="24"/>
        </w:rPr>
        <w:t>. годину за Основно јавно тужилаштво у Куршумлији</w:t>
      </w:r>
      <w:r>
        <w:rPr>
          <w:sz w:val="24"/>
          <w:lang w:val="sr-RS"/>
        </w:rPr>
        <w:t>.</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За набавку опреме у 2019. години одобрена су средства у износу од 100.000,00 динара.</w:t>
      </w:r>
    </w:p>
    <w:p>
      <w:pPr>
        <w:pStyle w:val="Normal"/>
        <w:bidi w:val="0"/>
        <w:jc w:val="left"/>
        <w:rPr>
          <w:sz w:val="24"/>
        </w:rPr>
      </w:pPr>
      <w:r>
        <w:rPr>
          <w:sz w:val="24"/>
        </w:rPr>
      </w:r>
    </w:p>
    <w:p>
      <w:pPr>
        <w:pStyle w:val="Normal"/>
        <w:bidi w:val="0"/>
        <w:jc w:val="left"/>
        <w:rPr>
          <w:sz w:val="24"/>
        </w:rPr>
      </w:pPr>
      <w:r>
        <w:rPr>
          <w:sz w:val="24"/>
        </w:rPr>
      </w:r>
    </w:p>
    <w:p>
      <w:pPr>
        <w:pStyle w:val="Normal"/>
        <w:numPr>
          <w:ilvl w:val="0"/>
          <w:numId w:val="0"/>
        </w:numPr>
        <w:bidi w:val="0"/>
        <w:ind w:left="0" w:right="0" w:hanging="0"/>
        <w:jc w:val="center"/>
        <w:outlineLvl w:val="0"/>
        <w:rPr>
          <w:b/>
          <w:b/>
          <w:sz w:val="24"/>
        </w:rPr>
      </w:pPr>
      <w:bookmarkStart w:id="14" w:name="_Toc517172846"/>
      <w:r>
        <w:rPr>
          <w:b/>
          <w:sz w:val="24"/>
        </w:rPr>
        <w:t>XV  -  ПОДАЦИ О СРЕДСТВИМА РАДА</w:t>
      </w:r>
      <w:bookmarkEnd w:id="14"/>
    </w:p>
    <w:p>
      <w:pPr>
        <w:pStyle w:val="Normal"/>
        <w:bidi w:val="0"/>
        <w:jc w:val="center"/>
        <w:rPr>
          <w:sz w:val="24"/>
        </w:rPr>
      </w:pPr>
      <w:r>
        <w:rPr>
          <w:sz w:val="24"/>
        </w:rPr>
      </w:r>
    </w:p>
    <w:p>
      <w:pPr>
        <w:pStyle w:val="Normal"/>
        <w:bidi w:val="0"/>
        <w:jc w:val="center"/>
        <w:rPr>
          <w:sz w:val="24"/>
        </w:rPr>
      </w:pPr>
      <w:r>
        <w:rPr>
          <w:sz w:val="24"/>
        </w:rPr>
      </w:r>
    </w:p>
    <w:p>
      <w:pPr>
        <w:pStyle w:val="Normal"/>
        <w:numPr>
          <w:ilvl w:val="0"/>
          <w:numId w:val="0"/>
        </w:numPr>
        <w:bidi w:val="0"/>
        <w:ind w:left="0" w:right="0" w:hanging="0"/>
        <w:jc w:val="both"/>
        <w:outlineLvl w:val="4"/>
        <w:rPr>
          <w:sz w:val="24"/>
        </w:rPr>
      </w:pPr>
      <w:r>
        <w:rPr>
          <w:sz w:val="24"/>
        </w:rPr>
        <w:tab/>
        <w:t>Подаци за 201</w:t>
      </w:r>
      <w:r>
        <w:rPr>
          <w:sz w:val="24"/>
          <w:lang w:val="sr-Latn-RS"/>
        </w:rPr>
        <w:t>9</w:t>
      </w:r>
      <w:r>
        <w:rPr>
          <w:sz w:val="24"/>
        </w:rPr>
        <w:t>. годину према Попису имовине и обавеза са стањем на дан 31.12.201</w:t>
      </w:r>
      <w:r>
        <w:rPr>
          <w:sz w:val="24"/>
          <w:lang w:val="sr-Latn-RS"/>
        </w:rPr>
        <w:t>9</w:t>
      </w:r>
      <w:r>
        <w:rPr>
          <w:sz w:val="24"/>
        </w:rPr>
        <w:t>. године:</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8788" w:type="dxa"/>
        <w:jc w:val="left"/>
        <w:tblInd w:w="534" w:type="dxa"/>
        <w:tblCellMar>
          <w:top w:w="0" w:type="dxa"/>
          <w:left w:w="108" w:type="dxa"/>
          <w:bottom w:w="0" w:type="dxa"/>
          <w:right w:w="108" w:type="dxa"/>
        </w:tblCellMar>
      </w:tblPr>
      <w:tblGrid>
        <w:gridCol w:w="2835"/>
        <w:gridCol w:w="2269"/>
        <w:gridCol w:w="2378"/>
        <w:gridCol w:w="1305"/>
      </w:tblGrid>
      <w:tr>
        <w:trPr>
          <w:trHeight w:val="465" w:hRule="atLeast"/>
        </w:trPr>
        <w:tc>
          <w:tcPr>
            <w:tcW w:w="2835" w:type="dxa"/>
            <w:tcBorders>
              <w:top w:val="single" w:sz="8" w:space="0" w:color="000000"/>
              <w:left w:val="single" w:sz="8" w:space="0" w:color="000000"/>
              <w:bottom w:val="single" w:sz="4"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Назив</w:t>
            </w:r>
          </w:p>
        </w:tc>
        <w:tc>
          <w:tcPr>
            <w:tcW w:w="2269" w:type="dxa"/>
            <w:tcBorders>
              <w:top w:val="single" w:sz="8" w:space="0" w:color="000000"/>
              <w:bottom w:val="single" w:sz="4"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набавна вредност</w:t>
            </w:r>
          </w:p>
        </w:tc>
        <w:tc>
          <w:tcPr>
            <w:tcW w:w="2378" w:type="dxa"/>
            <w:tcBorders>
              <w:top w:val="single" w:sz="8" w:space="0" w:color="000000"/>
              <w:bottom w:val="single" w:sz="4"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 xml:space="preserve">садашња вредност </w:t>
            </w:r>
          </w:p>
        </w:tc>
        <w:tc>
          <w:tcPr>
            <w:tcW w:w="1305" w:type="dxa"/>
            <w:tcBorders>
              <w:top w:val="single" w:sz="8" w:space="0" w:color="000000"/>
              <w:bottom w:val="single" w:sz="4" w:space="0" w:color="000000"/>
              <w:right w:val="single" w:sz="8" w:space="0" w:color="000000"/>
            </w:tcBorders>
            <w:vAlign w:val="bottom"/>
          </w:tcPr>
          <w:p>
            <w:pPr>
              <w:pStyle w:val="Normal"/>
              <w:bidi w:val="0"/>
              <w:jc w:val="center"/>
              <w:rPr>
                <w:rFonts w:ascii="Arial" w:hAnsi="Arial" w:cs="Arial"/>
                <w:sz w:val="20"/>
                <w:szCs w:val="20"/>
              </w:rPr>
            </w:pPr>
            <w:r>
              <w:rPr>
                <w:rFonts w:cs="Arial" w:ascii="Arial" w:hAnsi="Arial"/>
                <w:sz w:val="20"/>
                <w:szCs w:val="20"/>
              </w:rPr>
              <w:t>количина</w:t>
            </w:r>
          </w:p>
        </w:tc>
      </w:tr>
      <w:tr>
        <w:trPr>
          <w:trHeight w:val="255" w:hRule="atLeast"/>
        </w:trPr>
        <w:tc>
          <w:tcPr>
            <w:tcW w:w="2835" w:type="dxa"/>
            <w:tcBorders>
              <w:left w:val="single" w:sz="8" w:space="0" w:color="000000"/>
              <w:bottom w:val="single" w:sz="4"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Канцеларијска опрема</w:t>
            </w:r>
          </w:p>
        </w:tc>
        <w:tc>
          <w:tcPr>
            <w:tcW w:w="2269" w:type="dxa"/>
            <w:tcBorders>
              <w:bottom w:val="single" w:sz="4"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91.280,00</w:t>
            </w:r>
          </w:p>
        </w:tc>
        <w:tc>
          <w:tcPr>
            <w:tcW w:w="2378" w:type="dxa"/>
            <w:tcBorders>
              <w:bottom w:val="single" w:sz="4"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61.133,67</w:t>
            </w:r>
          </w:p>
        </w:tc>
        <w:tc>
          <w:tcPr>
            <w:tcW w:w="1305" w:type="dxa"/>
            <w:tcBorders>
              <w:bottom w:val="single" w:sz="4" w:space="0" w:color="000000"/>
              <w:right w:val="single" w:sz="8" w:space="0" w:color="000000"/>
            </w:tcBorders>
            <w:vAlign w:val="bottom"/>
          </w:tcPr>
          <w:p>
            <w:pPr>
              <w:pStyle w:val="Normal"/>
              <w:bidi w:val="0"/>
              <w:jc w:val="center"/>
              <w:rPr>
                <w:rFonts w:ascii="Arial" w:hAnsi="Arial" w:cs="Arial"/>
                <w:sz w:val="20"/>
                <w:szCs w:val="20"/>
              </w:rPr>
            </w:pPr>
            <w:r>
              <w:rPr>
                <w:rFonts w:cs="Arial" w:ascii="Arial" w:hAnsi="Arial"/>
                <w:sz w:val="20"/>
                <w:szCs w:val="20"/>
              </w:rPr>
              <w:t>3</w:t>
            </w:r>
          </w:p>
        </w:tc>
      </w:tr>
      <w:tr>
        <w:trPr>
          <w:trHeight w:val="475" w:hRule="atLeast"/>
        </w:trPr>
        <w:tc>
          <w:tcPr>
            <w:tcW w:w="2835" w:type="dxa"/>
            <w:tcBorders>
              <w:left w:val="single" w:sz="8" w:space="0" w:color="000000"/>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Рачунарска опрема</w:t>
            </w:r>
          </w:p>
        </w:tc>
        <w:tc>
          <w:tcPr>
            <w:tcW w:w="2269" w:type="dxa"/>
            <w:tcBorders>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121.970,00</w:t>
            </w:r>
          </w:p>
        </w:tc>
        <w:tc>
          <w:tcPr>
            <w:tcW w:w="2378" w:type="dxa"/>
            <w:tcBorders>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33.652,00</w:t>
            </w:r>
          </w:p>
        </w:tc>
        <w:tc>
          <w:tcPr>
            <w:tcW w:w="1305" w:type="dxa"/>
            <w:tcBorders>
              <w:bottom w:val="single" w:sz="8" w:space="0" w:color="000000"/>
              <w:right w:val="single" w:sz="8" w:space="0" w:color="000000"/>
            </w:tcBorders>
            <w:vAlign w:val="bottom"/>
          </w:tcPr>
          <w:p>
            <w:pPr>
              <w:pStyle w:val="Normal"/>
              <w:bidi w:val="0"/>
              <w:jc w:val="center"/>
              <w:rPr>
                <w:rFonts w:ascii="Arial" w:hAnsi="Arial" w:cs="Arial"/>
                <w:sz w:val="20"/>
                <w:szCs w:val="20"/>
              </w:rPr>
            </w:pPr>
            <w:r>
              <w:rPr>
                <w:rFonts w:cs="Arial" w:ascii="Arial" w:hAnsi="Arial"/>
                <w:sz w:val="20"/>
                <w:szCs w:val="20"/>
              </w:rPr>
              <w:t>2</w:t>
            </w:r>
          </w:p>
        </w:tc>
      </w:tr>
      <w:tr>
        <w:trPr>
          <w:trHeight w:val="475" w:hRule="atLeast"/>
        </w:trPr>
        <w:tc>
          <w:tcPr>
            <w:tcW w:w="2835" w:type="dxa"/>
            <w:tcBorders>
              <w:left w:val="single" w:sz="8" w:space="0" w:color="000000"/>
              <w:bottom w:val="single" w:sz="8" w:space="0" w:color="000000"/>
              <w:right w:val="single" w:sz="4" w:space="0" w:color="000000"/>
            </w:tcBorders>
            <w:vAlign w:val="bottom"/>
          </w:tcPr>
          <w:p>
            <w:pPr>
              <w:pStyle w:val="Normal"/>
              <w:bidi w:val="0"/>
              <w:jc w:val="left"/>
              <w:rPr>
                <w:rFonts w:ascii="Arial" w:hAnsi="Arial" w:cs="Arial"/>
                <w:sz w:val="20"/>
                <w:szCs w:val="20"/>
              </w:rPr>
            </w:pPr>
            <w:r>
              <w:rPr>
                <w:rFonts w:cs="Arial" w:ascii="Arial" w:hAnsi="Arial"/>
                <w:sz w:val="20"/>
                <w:szCs w:val="20"/>
              </w:rPr>
              <w:t>АУТО Шкода Фабиа</w:t>
            </w:r>
          </w:p>
        </w:tc>
        <w:tc>
          <w:tcPr>
            <w:tcW w:w="2269" w:type="dxa"/>
            <w:tcBorders>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875.437,79</w:t>
            </w:r>
          </w:p>
        </w:tc>
        <w:tc>
          <w:tcPr>
            <w:tcW w:w="2378" w:type="dxa"/>
            <w:tcBorders>
              <w:bottom w:val="single" w:sz="8" w:space="0" w:color="000000"/>
              <w:right w:val="single" w:sz="4" w:space="0" w:color="000000"/>
            </w:tcBorders>
            <w:vAlign w:val="bottom"/>
          </w:tcPr>
          <w:p>
            <w:pPr>
              <w:pStyle w:val="Normal"/>
              <w:bidi w:val="0"/>
              <w:jc w:val="center"/>
              <w:rPr>
                <w:rFonts w:ascii="Arial" w:hAnsi="Arial" w:cs="Arial"/>
                <w:sz w:val="20"/>
                <w:szCs w:val="20"/>
                <w:lang w:val="sr-RS"/>
              </w:rPr>
            </w:pPr>
            <w:r>
              <w:rPr>
                <w:rFonts w:cs="Arial" w:ascii="Arial" w:hAnsi="Arial"/>
                <w:sz w:val="20"/>
                <w:szCs w:val="20"/>
                <w:lang w:val="sr-RS"/>
              </w:rPr>
              <w:t>0</w:t>
            </w:r>
          </w:p>
        </w:tc>
        <w:tc>
          <w:tcPr>
            <w:tcW w:w="1305" w:type="dxa"/>
            <w:tcBorders>
              <w:bottom w:val="single" w:sz="8" w:space="0" w:color="000000"/>
              <w:right w:val="single" w:sz="8" w:space="0" w:color="000000"/>
            </w:tcBorders>
            <w:vAlign w:val="bottom"/>
          </w:tcPr>
          <w:p>
            <w:pPr>
              <w:pStyle w:val="Normal"/>
              <w:bidi w:val="0"/>
              <w:jc w:val="center"/>
              <w:rPr>
                <w:rFonts w:ascii="Arial" w:hAnsi="Arial" w:cs="Arial"/>
                <w:sz w:val="20"/>
                <w:szCs w:val="20"/>
                <w:lang w:val="sr-RS"/>
              </w:rPr>
            </w:pPr>
            <w:r>
              <w:rPr>
                <w:rFonts w:cs="Arial" w:ascii="Arial" w:hAnsi="Arial"/>
                <w:sz w:val="20"/>
                <w:szCs w:val="20"/>
                <w:lang w:val="sr-RS"/>
              </w:rPr>
              <w:t>1</w:t>
            </w:r>
          </w:p>
        </w:tc>
      </w:tr>
      <w:tr>
        <w:trPr>
          <w:trHeight w:val="475" w:hRule="atLeast"/>
        </w:trPr>
        <w:tc>
          <w:tcPr>
            <w:tcW w:w="2835" w:type="dxa"/>
            <w:tcBorders>
              <w:left w:val="single" w:sz="8" w:space="0" w:color="000000"/>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Укупно</w:t>
            </w:r>
          </w:p>
        </w:tc>
        <w:tc>
          <w:tcPr>
            <w:tcW w:w="2269" w:type="dxa"/>
            <w:tcBorders>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1.126.227,79</w:t>
            </w:r>
          </w:p>
        </w:tc>
        <w:tc>
          <w:tcPr>
            <w:tcW w:w="2378" w:type="dxa"/>
            <w:tcBorders>
              <w:bottom w:val="single" w:sz="8" w:space="0" w:color="000000"/>
              <w:right w:val="single" w:sz="4" w:space="0" w:color="000000"/>
            </w:tcBorders>
            <w:vAlign w:val="bottom"/>
          </w:tcPr>
          <w:p>
            <w:pPr>
              <w:pStyle w:val="Normal"/>
              <w:bidi w:val="0"/>
              <w:jc w:val="center"/>
              <w:rPr>
                <w:rFonts w:ascii="Arial" w:hAnsi="Arial" w:cs="Arial"/>
                <w:sz w:val="20"/>
                <w:szCs w:val="20"/>
              </w:rPr>
            </w:pPr>
            <w:r>
              <w:rPr>
                <w:rFonts w:cs="Arial" w:ascii="Arial" w:hAnsi="Arial"/>
                <w:sz w:val="20"/>
                <w:szCs w:val="20"/>
              </w:rPr>
              <w:t>94.786,17</w:t>
            </w:r>
          </w:p>
        </w:tc>
        <w:tc>
          <w:tcPr>
            <w:tcW w:w="1305" w:type="dxa"/>
            <w:tcBorders>
              <w:bottom w:val="single" w:sz="8" w:space="0" w:color="000000"/>
              <w:right w:val="single" w:sz="8" w:space="0" w:color="000000"/>
            </w:tcBorders>
            <w:vAlign w:val="bottom"/>
          </w:tcPr>
          <w:p>
            <w:pPr>
              <w:pStyle w:val="Normal"/>
              <w:bidi w:val="0"/>
              <w:snapToGrid w:val="false"/>
              <w:jc w:val="center"/>
              <w:rPr>
                <w:rFonts w:ascii="Arial" w:hAnsi="Arial" w:cs="Arial"/>
                <w:sz w:val="20"/>
                <w:szCs w:val="20"/>
              </w:rPr>
            </w:pPr>
            <w:r>
              <w:rPr>
                <w:rFonts w:cs="Arial" w:ascii="Arial" w:hAnsi="Arial"/>
                <w:sz w:val="20"/>
                <w:szCs w:val="20"/>
              </w:rPr>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i/>
          <w:i/>
          <w:sz w:val="24"/>
        </w:rPr>
      </w:pPr>
      <w:r>
        <w:rPr>
          <w:i/>
          <w:sz w:val="24"/>
        </w:rPr>
      </w:r>
    </w:p>
    <w:p>
      <w:pPr>
        <w:pStyle w:val="Normal"/>
        <w:numPr>
          <w:ilvl w:val="0"/>
          <w:numId w:val="0"/>
        </w:numPr>
        <w:bidi w:val="0"/>
        <w:ind w:left="0" w:right="0" w:hanging="0"/>
        <w:jc w:val="left"/>
        <w:outlineLvl w:val="4"/>
        <w:rPr>
          <w:sz w:val="24"/>
        </w:rPr>
      </w:pPr>
      <w:r>
        <w:rPr>
          <w:sz w:val="24"/>
        </w:rPr>
        <w:tab/>
        <w:t xml:space="preserve">Основним јавном тужилаштву у Куршумлији дато је на коришћење путничко возило марке „Škoda Fabia“ регистарских ознака </w:t>
      </w:r>
      <w:r>
        <w:rPr>
          <w:sz w:val="24"/>
          <w:lang w:val="sr-Latn-RS"/>
        </w:rPr>
        <w:t>PK</w:t>
      </w:r>
      <w:r>
        <w:rPr>
          <w:sz w:val="24"/>
        </w:rPr>
        <w:t xml:space="preserve"> 0</w:t>
      </w:r>
      <w:r>
        <w:rPr>
          <w:sz w:val="24"/>
          <w:lang w:val="sr-Latn-RS"/>
        </w:rPr>
        <w:t>52</w:t>
      </w:r>
      <w:r>
        <w:rPr>
          <w:sz w:val="24"/>
        </w:rPr>
        <w:t>-</w:t>
      </w:r>
      <w:r>
        <w:rPr>
          <w:sz w:val="24"/>
          <w:lang w:val="sr-Latn-RS"/>
        </w:rPr>
        <w:t>VG</w:t>
      </w:r>
      <w:r>
        <w:rPr>
          <w:sz w:val="24"/>
        </w:rPr>
        <w:t>.</w:t>
      </w:r>
    </w:p>
    <w:p>
      <w:pPr>
        <w:pStyle w:val="Normal"/>
        <w:numPr>
          <w:ilvl w:val="0"/>
          <w:numId w:val="0"/>
        </w:numPr>
        <w:bidi w:val="0"/>
        <w:ind w:left="0" w:right="0" w:hanging="0"/>
        <w:jc w:val="left"/>
        <w:outlineLvl w:val="4"/>
        <w:rPr>
          <w:sz w:val="24"/>
        </w:rPr>
      </w:pPr>
      <w:r>
        <w:rPr>
          <w:sz w:val="24"/>
        </w:rPr>
      </w:r>
    </w:p>
    <w:p>
      <w:pPr>
        <w:pStyle w:val="Normal"/>
        <w:numPr>
          <w:ilvl w:val="0"/>
          <w:numId w:val="0"/>
        </w:numPr>
        <w:bidi w:val="0"/>
        <w:ind w:left="0" w:right="0" w:hanging="0"/>
        <w:jc w:val="left"/>
        <w:outlineLvl w:val="4"/>
        <w:rPr>
          <w:sz w:val="24"/>
        </w:rPr>
      </w:pPr>
      <w:r>
        <w:rPr>
          <w:sz w:val="24"/>
        </w:rPr>
        <w:tab/>
        <w:t>Основно јавно тужилаштво у Куршумлији не поседује непокретну имовину.</w:t>
      </w:r>
    </w:p>
    <w:p>
      <w:pPr>
        <w:pStyle w:val="Normal"/>
        <w:numPr>
          <w:ilvl w:val="0"/>
          <w:numId w:val="0"/>
        </w:numPr>
        <w:bidi w:val="0"/>
        <w:ind w:left="0" w:right="0" w:hanging="0"/>
        <w:jc w:val="both"/>
        <w:outlineLvl w:val="4"/>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5" w:name="_Toc517172847"/>
      <w:r>
        <w:rPr>
          <w:b/>
          <w:sz w:val="24"/>
        </w:rPr>
        <w:t>XVI  -  ПОДАЦИ О ДРЖАВНОЈ ПОМОЋИ</w:t>
      </w:r>
      <w:bookmarkEnd w:id="15"/>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0"/>
        <w:rPr>
          <w:b/>
          <w:b/>
          <w:sz w:val="24"/>
        </w:rPr>
      </w:pPr>
      <w:bookmarkStart w:id="16" w:name="_Toc517172848"/>
      <w:r>
        <w:rPr>
          <w:b/>
          <w:sz w:val="24"/>
        </w:rPr>
        <w:t>XVII  -  ЧУВАЊЕ НОСАЧА ИНФОРМАЦИЈА</w:t>
      </w:r>
      <w:bookmarkEnd w:id="16"/>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pStyle w:val="Normal"/>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Рокови чувања одређени су Листом категорија регистратурског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pStyle w:val="Normal"/>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Конкурсни материјал чува се три године.</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- 8 година – конкурсна докуменатција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7" w:name="_Toc517172849"/>
      <w:r>
        <w:rPr>
          <w:b/>
          <w:sz w:val="24"/>
        </w:rPr>
        <w:t>XVIII  -  ВРСТЕ ИНФОРМАЦИЈА У ПОСЕДУ</w:t>
      </w:r>
      <w:bookmarkEnd w:id="17"/>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pStyle w:val="Normal"/>
        <w:numPr>
          <w:ilvl w:val="0"/>
          <w:numId w:val="0"/>
        </w:numPr>
        <w:bidi w:val="0"/>
        <w:ind w:left="0" w:right="0" w:hanging="0"/>
        <w:jc w:val="both"/>
        <w:outlineLvl w:val="4"/>
        <w:rPr>
          <w:sz w:val="24"/>
        </w:rPr>
      </w:pPr>
      <w:r>
        <w:rPr>
          <w:sz w:val="24"/>
        </w:rPr>
      </w:r>
    </w:p>
    <w:p>
      <w:pPr>
        <w:pStyle w:val="Normal"/>
        <w:numPr>
          <w:ilvl w:val="0"/>
          <w:numId w:val="2"/>
        </w:numPr>
        <w:bidi w:val="0"/>
        <w:ind w:left="709" w:right="0" w:hanging="360"/>
        <w:jc w:val="both"/>
        <w:outlineLvl w:val="4"/>
        <w:rPr>
          <w:sz w:val="24"/>
        </w:rPr>
      </w:pPr>
      <w:r>
        <w:rPr>
          <w:sz w:val="24"/>
        </w:rPr>
        <w:t>„</w:t>
      </w:r>
      <w:r>
        <w:rPr>
          <w:sz w:val="24"/>
        </w:rPr>
        <w:t xml:space="preserve">КТ“ - Уписник за пунолетне учиниоце кривичних дела </w:t>
      </w:r>
    </w:p>
    <w:p>
      <w:pPr>
        <w:pStyle w:val="Normal"/>
        <w:numPr>
          <w:ilvl w:val="0"/>
          <w:numId w:val="0"/>
        </w:numPr>
        <w:bidi w:val="0"/>
        <w:ind w:left="426" w:right="0" w:hanging="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pStyle w:val="Normal"/>
        <w:numPr>
          <w:ilvl w:val="0"/>
          <w:numId w:val="0"/>
        </w:numPr>
        <w:bidi w:val="0"/>
        <w:ind w:left="0" w:right="0" w:hanging="0"/>
        <w:jc w:val="both"/>
        <w:outlineLvl w:val="4"/>
        <w:rPr>
          <w:sz w:val="24"/>
        </w:rPr>
      </w:pPr>
      <w:r>
        <w:rPr>
          <w:sz w:val="24"/>
        </w:rPr>
      </w:r>
    </w:p>
    <w:p>
      <w:pPr>
        <w:pStyle w:val="Normal"/>
        <w:numPr>
          <w:ilvl w:val="0"/>
          <w:numId w:val="2"/>
        </w:numPr>
        <w:bidi w:val="0"/>
        <w:spacing w:before="0" w:after="0"/>
        <w:jc w:val="both"/>
        <w:outlineLvl w:val="4"/>
        <w:rPr>
          <w:sz w:val="24"/>
        </w:rPr>
      </w:pPr>
      <w:r>
        <w:rPr>
          <w:sz w:val="24"/>
        </w:rPr>
        <w:t>„</w:t>
      </w:r>
      <w:r>
        <w:rPr>
          <w:sz w:val="24"/>
        </w:rPr>
        <w:t>КТН“ – Уписник за непознате извршиоце кривичних дела</w:t>
      </w:r>
    </w:p>
    <w:p>
      <w:pPr>
        <w:pStyle w:val="Normal"/>
        <w:numPr>
          <w:ilvl w:val="0"/>
          <w:numId w:val="2"/>
        </w:numPr>
        <w:bidi w:val="0"/>
        <w:spacing w:before="0" w:after="0"/>
        <w:jc w:val="both"/>
        <w:outlineLvl w:val="4"/>
        <w:rPr>
          <w:sz w:val="24"/>
        </w:rPr>
      </w:pPr>
      <w:r>
        <w:rPr>
          <w:sz w:val="24"/>
        </w:rPr>
        <w:t>„</w:t>
      </w:r>
      <w:r>
        <w:rPr>
          <w:sz w:val="24"/>
        </w:rPr>
        <w:t>КТР“ – Уписник за остале кривичне предмете</w:t>
      </w:r>
    </w:p>
    <w:p>
      <w:pPr>
        <w:pStyle w:val="Normal"/>
        <w:numPr>
          <w:ilvl w:val="0"/>
          <w:numId w:val="2"/>
        </w:numPr>
        <w:bidi w:val="0"/>
        <w:spacing w:before="0" w:after="0"/>
        <w:jc w:val="both"/>
        <w:outlineLvl w:val="4"/>
        <w:rPr>
          <w:sz w:val="24"/>
        </w:rPr>
      </w:pPr>
      <w:r>
        <w:rPr>
          <w:sz w:val="24"/>
        </w:rPr>
        <w:t>„</w:t>
      </w:r>
      <w:r>
        <w:rPr>
          <w:sz w:val="24"/>
        </w:rPr>
        <w:t>КТРИ“ – Уписник за предмете по ванредним правним лековима и предмете у првостепеном поступку по жалбама на решење</w:t>
      </w:r>
    </w:p>
    <w:p>
      <w:pPr>
        <w:pStyle w:val="Normal"/>
        <w:numPr>
          <w:ilvl w:val="0"/>
          <w:numId w:val="2"/>
        </w:numPr>
        <w:bidi w:val="0"/>
        <w:spacing w:before="0" w:after="0"/>
        <w:jc w:val="both"/>
        <w:outlineLvl w:val="4"/>
        <w:rPr>
          <w:sz w:val="24"/>
        </w:rPr>
      </w:pPr>
      <w:r>
        <w:rPr>
          <w:sz w:val="24"/>
        </w:rPr>
        <w:t>„</w:t>
      </w:r>
      <w:r>
        <w:rPr>
          <w:sz w:val="24"/>
        </w:rPr>
        <w:t>КЕО“ – Уписник о предметима у којима је примењено одлагање кривичног гоњења</w:t>
      </w:r>
    </w:p>
    <w:p>
      <w:pPr>
        <w:pStyle w:val="Normal"/>
        <w:numPr>
          <w:ilvl w:val="0"/>
          <w:numId w:val="2"/>
        </w:numPr>
        <w:bidi w:val="0"/>
        <w:spacing w:before="0" w:after="0"/>
        <w:jc w:val="both"/>
        <w:outlineLvl w:val="4"/>
        <w:rPr>
          <w:sz w:val="24"/>
        </w:rPr>
      </w:pPr>
      <w:r>
        <w:rPr>
          <w:sz w:val="24"/>
        </w:rPr>
        <w:t>„</w:t>
      </w:r>
      <w:r>
        <w:rPr>
          <w:sz w:val="24"/>
        </w:rPr>
        <w:t>ПТ“ – Уписник за прекршајне предмете</w:t>
      </w:r>
    </w:p>
    <w:p>
      <w:pPr>
        <w:pStyle w:val="Normal"/>
        <w:numPr>
          <w:ilvl w:val="0"/>
          <w:numId w:val="2"/>
        </w:numPr>
        <w:bidi w:val="0"/>
        <w:spacing w:before="0" w:after="0"/>
        <w:jc w:val="both"/>
        <w:outlineLvl w:val="4"/>
        <w:rPr>
          <w:sz w:val="24"/>
        </w:rPr>
      </w:pPr>
      <w:r>
        <w:rPr>
          <w:sz w:val="24"/>
        </w:rPr>
        <w:t>„</w:t>
      </w:r>
      <w:r>
        <w:rPr>
          <w:sz w:val="24"/>
        </w:rPr>
        <w:t>ПОВ“ – Уписник за предмете са ознаком степена тајности поверљиво</w:t>
      </w:r>
    </w:p>
    <w:p>
      <w:pPr>
        <w:pStyle w:val="Normal"/>
        <w:numPr>
          <w:ilvl w:val="0"/>
          <w:numId w:val="2"/>
        </w:numPr>
        <w:bidi w:val="0"/>
        <w:spacing w:before="0" w:after="0"/>
        <w:jc w:val="both"/>
        <w:outlineLvl w:val="4"/>
        <w:rPr>
          <w:sz w:val="24"/>
        </w:rPr>
      </w:pPr>
      <w:r>
        <w:rPr>
          <w:sz w:val="24"/>
        </w:rPr>
        <w:t>„</w:t>
      </w:r>
      <w:r>
        <w:rPr>
          <w:sz w:val="24"/>
        </w:rPr>
        <w:t>СТР.ПОВ“ – Уписник за предмете са ознаком степена тајности строго поверљиво</w:t>
      </w:r>
    </w:p>
    <w:p>
      <w:pPr>
        <w:pStyle w:val="Normal"/>
        <w:numPr>
          <w:ilvl w:val="0"/>
          <w:numId w:val="2"/>
        </w:numPr>
        <w:bidi w:val="0"/>
        <w:spacing w:before="0" w:after="0"/>
        <w:jc w:val="both"/>
        <w:outlineLvl w:val="4"/>
        <w:rPr>
          <w:sz w:val="24"/>
        </w:rPr>
      </w:pPr>
      <w:r>
        <w:rPr>
          <w:sz w:val="24"/>
        </w:rPr>
        <w:t>„</w:t>
      </w:r>
      <w:r>
        <w:rPr>
          <w:sz w:val="24"/>
        </w:rPr>
        <w:t>А“ – Уписник за административне предмете и акте</w:t>
      </w:r>
    </w:p>
    <w:p>
      <w:pPr>
        <w:pStyle w:val="Normal"/>
        <w:numPr>
          <w:ilvl w:val="0"/>
          <w:numId w:val="2"/>
        </w:numPr>
        <w:bidi w:val="0"/>
        <w:spacing w:before="0" w:after="0"/>
        <w:jc w:val="both"/>
        <w:outlineLvl w:val="4"/>
        <w:rPr>
          <w:sz w:val="24"/>
        </w:rPr>
      </w:pPr>
      <w:r>
        <w:rPr>
          <w:sz w:val="24"/>
        </w:rPr>
        <w:t>„</w:t>
      </w:r>
      <w:r>
        <w:rPr>
          <w:sz w:val="24"/>
        </w:rPr>
        <w:t>Р“ – Уписник за финансијско-материјалне послове</w:t>
      </w:r>
    </w:p>
    <w:p>
      <w:pPr>
        <w:pStyle w:val="Normal"/>
        <w:numPr>
          <w:ilvl w:val="0"/>
          <w:numId w:val="2"/>
        </w:numPr>
        <w:bidi w:val="0"/>
        <w:spacing w:before="0" w:after="0"/>
        <w:jc w:val="both"/>
        <w:outlineLvl w:val="4"/>
        <w:rPr>
          <w:sz w:val="24"/>
        </w:rPr>
      </w:pPr>
      <w:r>
        <w:rPr>
          <w:sz w:val="24"/>
        </w:rPr>
        <w:t>„</w:t>
      </w:r>
      <w:r>
        <w:rPr>
          <w:sz w:val="24"/>
        </w:rPr>
        <w:t>СК“ – Уписник о поднетим предлозима и закључењу споразума о признању кривичног дела</w:t>
      </w:r>
    </w:p>
    <w:p>
      <w:pPr>
        <w:pStyle w:val="Normal"/>
        <w:numPr>
          <w:ilvl w:val="0"/>
          <w:numId w:val="2"/>
        </w:numPr>
        <w:bidi w:val="0"/>
        <w:spacing w:before="0" w:after="0"/>
        <w:jc w:val="both"/>
        <w:outlineLvl w:val="4"/>
        <w:rPr>
          <w:sz w:val="24"/>
        </w:rPr>
      </w:pPr>
      <w:r>
        <w:rPr>
          <w:sz w:val="24"/>
        </w:rPr>
        <w:t>„</w:t>
      </w:r>
      <w:r>
        <w:rPr>
          <w:sz w:val="24"/>
        </w:rPr>
        <w:t>ОИК“ – Уписник о предметима имовинске користи проистекле из кривичног дела</w:t>
      </w:r>
    </w:p>
    <w:p>
      <w:pPr>
        <w:pStyle w:val="Normal"/>
        <w:numPr>
          <w:ilvl w:val="0"/>
          <w:numId w:val="2"/>
        </w:numPr>
        <w:bidi w:val="0"/>
        <w:spacing w:before="0" w:after="0"/>
        <w:jc w:val="both"/>
        <w:outlineLvl w:val="4"/>
        <w:rPr>
          <w:sz w:val="24"/>
        </w:rPr>
      </w:pPr>
      <w:r>
        <w:rPr>
          <w:sz w:val="24"/>
        </w:rPr>
        <w:t>„</w:t>
      </w:r>
      <w:r>
        <w:rPr>
          <w:sz w:val="24"/>
        </w:rPr>
        <w:t xml:space="preserve">ПИ“ – Уписник о поднетим захтевима и одлукама о остваривању права на приступ информацијама од јавног значаја </w:t>
      </w:r>
    </w:p>
    <w:p>
      <w:pPr>
        <w:pStyle w:val="Normal"/>
        <w:numPr>
          <w:ilvl w:val="0"/>
          <w:numId w:val="2"/>
        </w:numPr>
        <w:bidi w:val="0"/>
        <w:spacing w:before="0" w:after="0"/>
        <w:jc w:val="both"/>
        <w:outlineLvl w:val="4"/>
        <w:rPr>
          <w:sz w:val="24"/>
        </w:rPr>
      </w:pPr>
      <w:r>
        <w:rPr>
          <w:sz w:val="24"/>
        </w:rPr>
        <w:t>„</w:t>
      </w:r>
      <w:r>
        <w:rPr>
          <w:sz w:val="24"/>
        </w:rPr>
        <w:t>ИН“ – Уписник са ознаком степена тајности интерно</w:t>
      </w:r>
    </w:p>
    <w:p>
      <w:pPr>
        <w:pStyle w:val="Normal"/>
        <w:numPr>
          <w:ilvl w:val="0"/>
          <w:numId w:val="2"/>
        </w:numPr>
        <w:bidi w:val="0"/>
        <w:spacing w:before="0" w:after="0"/>
        <w:jc w:val="both"/>
        <w:outlineLvl w:val="4"/>
        <w:rPr>
          <w:sz w:val="24"/>
        </w:rPr>
      </w:pPr>
      <w:r>
        <w:rPr>
          <w:sz w:val="24"/>
        </w:rPr>
        <w:t>„</w:t>
      </w:r>
      <w:r>
        <w:rPr>
          <w:sz w:val="24"/>
        </w:rPr>
        <w:t>П“ – Уписник за персоналне послове</w:t>
      </w:r>
    </w:p>
    <w:p>
      <w:pPr>
        <w:pStyle w:val="Normal"/>
        <w:numPr>
          <w:ilvl w:val="0"/>
          <w:numId w:val="2"/>
        </w:numPr>
        <w:bidi w:val="0"/>
        <w:spacing w:before="0" w:after="0"/>
        <w:jc w:val="both"/>
        <w:outlineLvl w:val="4"/>
        <w:rPr>
          <w:sz w:val="24"/>
        </w:rPr>
      </w:pPr>
      <w:r>
        <w:rPr>
          <w:sz w:val="24"/>
        </w:rPr>
        <w:t>„</w:t>
      </w:r>
      <w:r>
        <w:rPr>
          <w:sz w:val="24"/>
        </w:rPr>
        <w:t>О“ – Уписник са обавезним упутствима и другим хијерархијским одлукама Виших тужилаштава</w:t>
      </w:r>
    </w:p>
    <w:p>
      <w:pPr>
        <w:pStyle w:val="Normal"/>
        <w:numPr>
          <w:ilvl w:val="0"/>
          <w:numId w:val="2"/>
        </w:numPr>
        <w:bidi w:val="0"/>
        <w:spacing w:before="0" w:after="0"/>
        <w:jc w:val="both"/>
        <w:outlineLvl w:val="4"/>
        <w:rPr>
          <w:sz w:val="24"/>
        </w:rPr>
      </w:pPr>
      <w:r>
        <w:rPr>
          <w:sz w:val="24"/>
        </w:rPr>
        <w:t>„</w:t>
      </w:r>
      <w:r>
        <w:rPr>
          <w:sz w:val="24"/>
        </w:rPr>
        <w:t>КДП“ – Уписник за одузете предмете и одузети новац</w:t>
      </w:r>
    </w:p>
    <w:p>
      <w:pPr>
        <w:pStyle w:val="Normal"/>
        <w:numPr>
          <w:ilvl w:val="0"/>
          <w:numId w:val="2"/>
        </w:numPr>
        <w:bidi w:val="0"/>
        <w:spacing w:before="0" w:after="0"/>
        <w:jc w:val="both"/>
        <w:outlineLvl w:val="4"/>
        <w:rPr>
          <w:sz w:val="24"/>
        </w:rPr>
      </w:pPr>
      <w:r>
        <w:rPr>
          <w:sz w:val="24"/>
        </w:rPr>
        <w:t>„</w:t>
      </w:r>
      <w:r>
        <w:rPr>
          <w:sz w:val="24"/>
        </w:rPr>
        <w:t>МП“ – Уписник за међународну правну помоћ и међународну сарадњу</w:t>
      </w:r>
    </w:p>
    <w:p>
      <w:pPr>
        <w:pStyle w:val="Normal"/>
        <w:numPr>
          <w:ilvl w:val="0"/>
          <w:numId w:val="2"/>
        </w:numPr>
        <w:bidi w:val="0"/>
        <w:spacing w:before="0" w:after="0"/>
        <w:jc w:val="both"/>
        <w:outlineLvl w:val="4"/>
        <w:rPr>
          <w:sz w:val="24"/>
        </w:rPr>
      </w:pPr>
      <w:r>
        <w:rPr>
          <w:sz w:val="24"/>
        </w:rPr>
        <w:t>„</w:t>
      </w:r>
      <w:r>
        <w:rPr>
          <w:sz w:val="24"/>
        </w:rPr>
        <w:t>НПТ“ – Уписник о изреченим хитним мерама за сузбијање насиља у породици</w:t>
      </w:r>
    </w:p>
    <w:p>
      <w:pPr>
        <w:pStyle w:val="Normal"/>
        <w:numPr>
          <w:ilvl w:val="0"/>
          <w:numId w:val="2"/>
        </w:numPr>
        <w:bidi w:val="0"/>
        <w:jc w:val="both"/>
        <w:outlineLvl w:val="4"/>
        <w:rPr>
          <w:sz w:val="24"/>
        </w:rPr>
      </w:pPr>
      <w:r>
        <w:rPr>
          <w:sz w:val="24"/>
        </w:rPr>
        <w:t>„</w:t>
      </w:r>
      <w:r>
        <w:rPr>
          <w:sz w:val="24"/>
        </w:rPr>
        <w:t>НПТ 1“ – Уписник о евиденцији састанака групе за координацију и сарадњу на сузбијању насиља у породици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Од помоћних књига у Основном јавном тужилаштву у Прокупљу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Уписници и помоћне књиге у ОЈТ у Куршумлији, се искључиво воде ћириличним писмом.</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Редовно се води и Књига записника са одржаних колегијума Основног јавног тужилаштва у Куршумлији.</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8" w:name="_Toc517172850"/>
      <w:r>
        <w:rPr>
          <w:b/>
          <w:sz w:val="24"/>
        </w:rPr>
        <w:t>XIX  -  ВРСТЕ ИНФОРМАЦИЈА КОЈИМА ДРЖАВНИ ОРГАН ОМОГУЋАВА ПРИСТУП</w:t>
      </w:r>
      <w:bookmarkEnd w:id="18"/>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pStyle w:val="Normal"/>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pStyle w:val="Normal"/>
        <w:numPr>
          <w:ilvl w:val="0"/>
          <w:numId w:val="0"/>
        </w:numPr>
        <w:bidi w:val="0"/>
        <w:ind w:left="0" w:right="0" w:hanging="0"/>
        <w:jc w:val="both"/>
        <w:outlineLvl w:val="4"/>
        <w:rPr>
          <w:sz w:val="24"/>
        </w:rPr>
      </w:pPr>
      <w:r>
        <w:rPr>
          <w:sz w:val="24"/>
        </w:rPr>
        <w:t xml:space="preserve"> </w:t>
      </w:r>
      <w:r>
        <w:rPr>
          <w:sz w:val="24"/>
        </w:rPr>
        <w:tab/>
        <w:t xml:space="preserve">Основно јавно тужилаштво неће тражиоцу омогућити остваривање права на приступ информацијама од јавног значаја, ако би тиме: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угрозио живот, здравље, сигурност или које друго важно добро неког лица; </w:t>
      </w:r>
    </w:p>
    <w:p>
      <w:pPr>
        <w:pStyle w:val="Normal"/>
        <w:numPr>
          <w:ilvl w:val="0"/>
          <w:numId w:val="0"/>
        </w:numPr>
        <w:bidi w:val="0"/>
        <w:ind w:left="0" w:right="0" w:hanging="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pStyle w:val="Normal"/>
        <w:numPr>
          <w:ilvl w:val="0"/>
          <w:numId w:val="0"/>
        </w:numPr>
        <w:bidi w:val="0"/>
        <w:ind w:left="0" w:right="0" w:hanging="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pStyle w:val="Normal"/>
        <w:numPr>
          <w:ilvl w:val="0"/>
          <w:numId w:val="0"/>
        </w:numPr>
        <w:bidi w:val="0"/>
        <w:ind w:left="0" w:right="0" w:hanging="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pStyle w:val="Normal"/>
        <w:numPr>
          <w:ilvl w:val="0"/>
          <w:numId w:val="0"/>
        </w:numPr>
        <w:bidi w:val="0"/>
        <w:ind w:left="0" w:right="0" w:hanging="0"/>
        <w:jc w:val="both"/>
        <w:outlineLvl w:val="4"/>
        <w:rPr>
          <w:sz w:val="24"/>
        </w:rPr>
      </w:pPr>
      <w:r>
        <w:rPr>
          <w:sz w:val="24"/>
        </w:rPr>
        <w:t xml:space="preserve"> </w:t>
      </w:r>
      <w:r>
        <w:rPr>
          <w:sz w:val="24"/>
        </w:rPr>
        <w:t xml:space="preserve">(5)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ако је лице на то пристало; </w:t>
      </w:r>
    </w:p>
    <w:p>
      <w:pPr>
        <w:pStyle w:val="Normal"/>
        <w:numPr>
          <w:ilvl w:val="0"/>
          <w:numId w:val="0"/>
        </w:numPr>
        <w:bidi w:val="0"/>
        <w:ind w:left="0" w:right="0" w:hanging="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pStyle w:val="Normal"/>
        <w:numPr>
          <w:ilvl w:val="0"/>
          <w:numId w:val="0"/>
        </w:numPr>
        <w:bidi w:val="0"/>
        <w:ind w:left="0" w:right="0" w:hanging="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hanging="0"/>
        <w:jc w:val="center"/>
        <w:outlineLvl w:val="0"/>
        <w:rPr>
          <w:b/>
          <w:b/>
          <w:sz w:val="24"/>
        </w:rPr>
      </w:pPr>
      <w:bookmarkStart w:id="19" w:name="_Toc517172851"/>
      <w:r>
        <w:rPr>
          <w:b/>
          <w:sz w:val="24"/>
        </w:rPr>
        <w:t>XX  -  ИНФОРМАЦИЈЕ О ПОДНОШЕЊУ ЗАХТЕВА ЗА ПРИСТУП ИНФОРМАЦИЈАМА</w:t>
      </w:r>
      <w:bookmarkEnd w:id="19"/>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1"/>
        <w:rPr>
          <w:b/>
          <w:b/>
          <w:sz w:val="24"/>
        </w:rPr>
      </w:pPr>
      <w:bookmarkStart w:id="20" w:name="_Toc517172852"/>
      <w:r>
        <w:rPr>
          <w:b/>
          <w:sz w:val="24"/>
        </w:rPr>
        <w:t>1. Захтев за обавештење, увид и издавање копије и упућивање</w:t>
      </w:r>
      <w:bookmarkEnd w:id="20"/>
      <w:r>
        <w:rPr>
          <w:b/>
          <w:sz w:val="24"/>
        </w:rPr>
        <w:t xml:space="preserve"> </w:t>
      </w:r>
    </w:p>
    <w:p>
      <w:pPr>
        <w:pStyle w:val="Normal"/>
        <w:bidi w:val="0"/>
        <w:jc w:val="both"/>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 Тражилац не мора навести разлоге за захтев.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pStyle w:val="Normal"/>
        <w:bidi w:val="0"/>
        <w:jc w:val="both"/>
        <w:rPr>
          <w:sz w:val="24"/>
        </w:rPr>
      </w:pPr>
      <w:r>
        <w:rPr>
          <w:sz w:val="24"/>
        </w:rPr>
        <w:t xml:space="preserve"> </w:t>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1" w:name="_Toc517172853"/>
      <w:r>
        <w:rPr>
          <w:b/>
          <w:sz w:val="24"/>
        </w:rPr>
        <w:t>2. Одлучивање по захтеву</w:t>
      </w:r>
      <w:bookmarkEnd w:id="21"/>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2" w:name="_Toc517172854"/>
      <w:r>
        <w:rPr>
          <w:b/>
          <w:sz w:val="24"/>
        </w:rPr>
        <w:t>3.Накнада</w:t>
      </w:r>
      <w:bookmarkEnd w:id="22"/>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pStyle w:val="Normal"/>
        <w:bidi w:val="0"/>
        <w:jc w:val="both"/>
        <w:rPr>
          <w:sz w:val="24"/>
        </w:rPr>
      </w:pPr>
      <w:r>
        <w:rPr>
          <w:sz w:val="24"/>
        </w:rPr>
        <w:t xml:space="preserve"> </w:t>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3" w:name="_Toc517172855"/>
      <w:r>
        <w:rPr>
          <w:b/>
          <w:sz w:val="24"/>
        </w:rPr>
        <w:t>4. Стављање на увид и израда копије</w:t>
      </w:r>
      <w:bookmarkEnd w:id="23"/>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left"/>
        <w:outlineLvl w:val="1"/>
        <w:rPr>
          <w:b/>
          <w:b/>
          <w:sz w:val="24"/>
        </w:rPr>
      </w:pPr>
      <w:bookmarkStart w:id="24" w:name="_Toc517172856"/>
      <w:r>
        <w:rPr>
          <w:b/>
          <w:sz w:val="24"/>
        </w:rPr>
        <w:t>5. Прослеђивање захтева Поверенику</w:t>
      </w:r>
      <w:bookmarkEnd w:id="24"/>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1"/>
        <w:rPr>
          <w:b/>
          <w:b/>
          <w:sz w:val="24"/>
        </w:rPr>
      </w:pPr>
      <w:bookmarkStart w:id="25" w:name="_Toc517172857"/>
      <w:r>
        <w:rPr>
          <w:b/>
          <w:sz w:val="24"/>
        </w:rPr>
        <w:t>6. Право на жалбу</w:t>
      </w:r>
      <w:bookmarkEnd w:id="25"/>
    </w:p>
    <w:p>
      <w:pPr>
        <w:pStyle w:val="Normal"/>
        <w:bidi w:val="0"/>
        <w:jc w:val="left"/>
        <w:rPr>
          <w:sz w:val="24"/>
        </w:rPr>
      </w:pPr>
      <w:r>
        <w:rPr>
          <w:sz w:val="24"/>
        </w:rPr>
      </w:r>
    </w:p>
    <w:p>
      <w:pPr>
        <w:pStyle w:val="Normal"/>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орган власти – Основно јавно тужилаштво, супротно члану 16. ст. 1. и 3. Закона о слободном приступу информацијама од јавног значаја, одбије да обавести тражиоца о томе да ли поседује одређену информацију од јавног значаја или му је она иначе доступна, да му стави на увид документ који садржи тражену информацију, да му изда, односно упути копију документа, или ако то не учини у прописаном року; </w:t>
      </w:r>
    </w:p>
    <w:p>
      <w:pPr>
        <w:pStyle w:val="Normal"/>
        <w:numPr>
          <w:ilvl w:val="0"/>
          <w:numId w:val="0"/>
        </w:numPr>
        <w:bidi w:val="0"/>
        <w:ind w:left="0" w:right="0" w:hanging="0"/>
        <w:jc w:val="both"/>
        <w:outlineLvl w:val="4"/>
        <w:rPr>
          <w:sz w:val="24"/>
        </w:rPr>
      </w:pPr>
      <w:r>
        <w:rPr>
          <w:sz w:val="24"/>
        </w:rPr>
        <w:t xml:space="preserve">(2) орган власти, супротно члану 16. став 2. Закона о слободном приступу информацијама од јавног значаја, не одговори у прописаном року на захтев тражиоца; </w:t>
      </w:r>
    </w:p>
    <w:p>
      <w:pPr>
        <w:pStyle w:val="Normal"/>
        <w:numPr>
          <w:ilvl w:val="0"/>
          <w:numId w:val="0"/>
        </w:numPr>
        <w:bidi w:val="0"/>
        <w:ind w:left="0" w:right="0" w:hanging="0"/>
        <w:jc w:val="both"/>
        <w:outlineLvl w:val="4"/>
        <w:rPr>
          <w:sz w:val="24"/>
        </w:rPr>
      </w:pPr>
      <w:r>
        <w:rPr>
          <w:sz w:val="24"/>
        </w:rPr>
        <w:t xml:space="preserve">(3)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pStyle w:val="Normal"/>
        <w:numPr>
          <w:ilvl w:val="0"/>
          <w:numId w:val="0"/>
        </w:numPr>
        <w:bidi w:val="0"/>
        <w:ind w:left="0" w:right="0" w:hanging="0"/>
        <w:jc w:val="both"/>
        <w:outlineLvl w:val="4"/>
        <w:rPr>
          <w:sz w:val="24"/>
        </w:rPr>
      </w:pPr>
      <w:r>
        <w:rPr>
          <w:sz w:val="24"/>
        </w:rPr>
        <w:t xml:space="preserve"> </w:t>
      </w:r>
      <w:r>
        <w:rPr>
          <w:sz w:val="24"/>
        </w:rPr>
        <w:t xml:space="preserve">(4)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pStyle w:val="Normal"/>
        <w:numPr>
          <w:ilvl w:val="0"/>
          <w:numId w:val="0"/>
        </w:numPr>
        <w:bidi w:val="0"/>
        <w:ind w:left="0" w:right="0" w:hanging="0"/>
        <w:jc w:val="both"/>
        <w:outlineLvl w:val="4"/>
        <w:rPr>
          <w:sz w:val="24"/>
        </w:rPr>
      </w:pPr>
      <w:r>
        <w:rPr>
          <w:sz w:val="24"/>
        </w:rPr>
        <w:t xml:space="preserve">(5)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t>С А Д Р Ж А Ј</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3"/>
        </w:numPr>
        <w:bidi w:val="0"/>
        <w:spacing w:before="0" w:after="0"/>
        <w:jc w:val="left"/>
        <w:outlineLvl w:val="4"/>
        <w:rPr>
          <w:sz w:val="24"/>
        </w:rPr>
      </w:pPr>
      <w:r>
        <w:rPr>
          <w:color w:val="000000"/>
          <w:sz w:val="24"/>
        </w:rPr>
        <w:t>ОСНОВНИ ПОДАЦИ О ДРЖАВНОМ ОРГАНУ И ИНФОРМАТОРУ...........................2</w:t>
      </w:r>
    </w:p>
    <w:p>
      <w:pPr>
        <w:pStyle w:val="Normal"/>
        <w:numPr>
          <w:ilvl w:val="0"/>
          <w:numId w:val="3"/>
        </w:numPr>
        <w:bidi w:val="0"/>
        <w:spacing w:before="0" w:after="0"/>
        <w:jc w:val="left"/>
        <w:outlineLvl w:val="0"/>
        <w:rPr>
          <w:color w:val="000000"/>
          <w:sz w:val="24"/>
        </w:rPr>
      </w:pPr>
      <w:r>
        <w:rPr>
          <w:color w:val="000000"/>
          <w:sz w:val="24"/>
        </w:rPr>
        <w:t>ОРГАНИЗАЦИОНА СТРУКТУРА......................................................................................3</w:t>
      </w:r>
    </w:p>
    <w:p>
      <w:pPr>
        <w:pStyle w:val="Normal"/>
        <w:numPr>
          <w:ilvl w:val="0"/>
          <w:numId w:val="3"/>
        </w:numPr>
        <w:bidi w:val="0"/>
        <w:spacing w:before="0" w:after="0"/>
        <w:jc w:val="left"/>
        <w:outlineLvl w:val="0"/>
        <w:rPr>
          <w:color w:val="000000"/>
          <w:sz w:val="24"/>
        </w:rPr>
      </w:pPr>
      <w:r>
        <w:rPr>
          <w:color w:val="000000"/>
          <w:sz w:val="24"/>
        </w:rPr>
        <w:t>ОПИС ФУНКЦИЈА СТАРЕШИНА......................................................................................6</w:t>
      </w:r>
    </w:p>
    <w:p>
      <w:pPr>
        <w:pStyle w:val="Normal"/>
        <w:numPr>
          <w:ilvl w:val="0"/>
          <w:numId w:val="3"/>
        </w:numPr>
        <w:bidi w:val="0"/>
        <w:spacing w:before="0" w:after="0"/>
        <w:jc w:val="left"/>
        <w:outlineLvl w:val="0"/>
        <w:rPr>
          <w:color w:val="000000"/>
          <w:sz w:val="24"/>
        </w:rPr>
      </w:pPr>
      <w:r>
        <w:rPr>
          <w:color w:val="000000"/>
          <w:sz w:val="24"/>
        </w:rPr>
        <w:t>ОПИС ПРАВИЛА У ВЕЗИ СА ЈАВНОШЋУ РАДА..........................................................6</w:t>
      </w:r>
    </w:p>
    <w:p>
      <w:pPr>
        <w:pStyle w:val="Normal"/>
        <w:numPr>
          <w:ilvl w:val="0"/>
          <w:numId w:val="3"/>
        </w:numPr>
        <w:bidi w:val="0"/>
        <w:spacing w:before="0" w:after="0"/>
        <w:jc w:val="left"/>
        <w:outlineLvl w:val="0"/>
        <w:rPr>
          <w:color w:val="000000"/>
          <w:sz w:val="24"/>
        </w:rPr>
      </w:pPr>
      <w:r>
        <w:rPr>
          <w:sz w:val="24"/>
        </w:rPr>
        <w:t>СПИСАК НАЈЧЕШЋЕ ТРАЖЕНИХ ИНФОРМАЦИЈА ОД ЈАВНОГ ЗНАЧАЈА……..7</w:t>
      </w:r>
    </w:p>
    <w:p>
      <w:pPr>
        <w:pStyle w:val="Normal"/>
        <w:numPr>
          <w:ilvl w:val="0"/>
          <w:numId w:val="3"/>
        </w:numPr>
        <w:bidi w:val="0"/>
        <w:spacing w:before="0" w:after="0"/>
        <w:jc w:val="left"/>
        <w:outlineLvl w:val="0"/>
        <w:rPr>
          <w:sz w:val="24"/>
        </w:rPr>
      </w:pPr>
      <w:r>
        <w:rPr>
          <w:sz w:val="24"/>
        </w:rPr>
        <w:t>ОПИС НАДЛЕЖНОСТИ, ОВЛАШЋЕЊА И ОБАВЕЗА………………………………...</w:t>
      </w:r>
      <w:r>
        <w:rPr>
          <w:sz w:val="24"/>
          <w:lang w:val="sr-RS"/>
        </w:rPr>
        <w:t>9</w:t>
      </w:r>
    </w:p>
    <w:p>
      <w:pPr>
        <w:pStyle w:val="Normal"/>
        <w:numPr>
          <w:ilvl w:val="0"/>
          <w:numId w:val="3"/>
        </w:numPr>
        <w:bidi w:val="0"/>
        <w:spacing w:before="0" w:after="0"/>
        <w:jc w:val="left"/>
        <w:outlineLvl w:val="0"/>
        <w:rPr>
          <w:sz w:val="24"/>
        </w:rPr>
      </w:pPr>
      <w:r>
        <w:rPr>
          <w:sz w:val="24"/>
        </w:rPr>
        <w:t>ОПИС ПОСТУПАЊА У ОКВИРУ НАДЛЕЖНОСТИ, ОВЛАШЋЕЊА И ОБАВЕЗА..............................................................................................................................1</w:t>
      </w:r>
      <w:r>
        <w:rPr>
          <w:sz w:val="24"/>
          <w:lang w:val="sr-RS"/>
        </w:rPr>
        <w:t>1</w:t>
      </w:r>
    </w:p>
    <w:p>
      <w:pPr>
        <w:pStyle w:val="Normal"/>
        <w:numPr>
          <w:ilvl w:val="0"/>
          <w:numId w:val="3"/>
        </w:numPr>
        <w:bidi w:val="0"/>
        <w:spacing w:before="0" w:after="0"/>
        <w:jc w:val="left"/>
        <w:outlineLvl w:val="0"/>
        <w:rPr>
          <w:color w:val="000000"/>
          <w:sz w:val="24"/>
        </w:rPr>
      </w:pPr>
      <w:r>
        <w:rPr>
          <w:color w:val="000000"/>
          <w:sz w:val="24"/>
        </w:rPr>
        <w:t>НАВОЂЕЊЕ ПРОПИСА......................................................</w:t>
      </w:r>
      <w:r>
        <w:rPr>
          <w:color w:val="000000"/>
          <w:sz w:val="24"/>
          <w:lang w:val="sr-RS"/>
        </w:rPr>
        <w:t>..</w:t>
      </w:r>
      <w:r>
        <w:rPr>
          <w:color w:val="000000"/>
          <w:sz w:val="24"/>
        </w:rPr>
        <w:t>.............................................1</w:t>
      </w:r>
      <w:r>
        <w:rPr>
          <w:color w:val="000000"/>
          <w:sz w:val="24"/>
          <w:lang w:val="sr-RS"/>
        </w:rPr>
        <w:t>3</w:t>
      </w:r>
    </w:p>
    <w:p>
      <w:pPr>
        <w:pStyle w:val="Normal"/>
        <w:numPr>
          <w:ilvl w:val="0"/>
          <w:numId w:val="3"/>
        </w:numPr>
        <w:bidi w:val="0"/>
        <w:spacing w:before="0" w:after="0"/>
        <w:jc w:val="left"/>
        <w:outlineLvl w:val="0"/>
        <w:rPr>
          <w:sz w:val="24"/>
        </w:rPr>
      </w:pPr>
      <w:r>
        <w:rPr>
          <w:sz w:val="24"/>
        </w:rPr>
        <w:t>УСЛУГЕ КОЈЕ ОРГАН ПРУЖА ЗАИНТЕРЕСОВАНИМ Л</w:t>
      </w:r>
      <w:r>
        <w:rPr>
          <w:sz w:val="24"/>
          <w:lang w:val="sr-RS"/>
        </w:rPr>
        <w:t>И</w:t>
      </w:r>
      <w:r>
        <w:rPr>
          <w:sz w:val="24"/>
        </w:rPr>
        <w:t>ЦИМА............................1</w:t>
      </w:r>
      <w:r>
        <w:rPr>
          <w:sz w:val="24"/>
          <w:lang w:val="sr-RS"/>
        </w:rPr>
        <w:t>4</w:t>
      </w:r>
    </w:p>
    <w:p>
      <w:pPr>
        <w:pStyle w:val="Normal"/>
        <w:numPr>
          <w:ilvl w:val="0"/>
          <w:numId w:val="3"/>
        </w:numPr>
        <w:bidi w:val="0"/>
        <w:spacing w:before="0" w:after="0"/>
        <w:jc w:val="left"/>
        <w:outlineLvl w:val="0"/>
        <w:rPr>
          <w:sz w:val="24"/>
        </w:rPr>
      </w:pPr>
      <w:r>
        <w:rPr>
          <w:sz w:val="24"/>
        </w:rPr>
        <w:t>ПОСТУПАК РАДИ ПРУЖАЊА УСЛУГА.......................................................................1</w:t>
      </w:r>
      <w:r>
        <w:rPr>
          <w:sz w:val="24"/>
          <w:lang w:val="sr-RS"/>
        </w:rPr>
        <w:t>5</w:t>
      </w:r>
    </w:p>
    <w:p>
      <w:pPr>
        <w:pStyle w:val="Normal"/>
        <w:numPr>
          <w:ilvl w:val="0"/>
          <w:numId w:val="3"/>
        </w:numPr>
        <w:bidi w:val="0"/>
        <w:spacing w:before="0" w:after="0"/>
        <w:jc w:val="left"/>
        <w:outlineLvl w:val="0"/>
        <w:rPr>
          <w:sz w:val="24"/>
        </w:rPr>
      </w:pPr>
      <w:r>
        <w:rPr>
          <w:sz w:val="24"/>
        </w:rPr>
        <w:t>ПРЕГЛЕД ПОДАТАКА О ПРУЖЕНИМ УСЛУГАМА………………………………...1</w:t>
      </w:r>
      <w:r>
        <w:rPr>
          <w:sz w:val="24"/>
          <w:lang w:val="sr-RS"/>
        </w:rPr>
        <w:t>8</w:t>
      </w:r>
    </w:p>
    <w:p>
      <w:pPr>
        <w:pStyle w:val="Normal"/>
        <w:numPr>
          <w:ilvl w:val="0"/>
          <w:numId w:val="3"/>
        </w:numPr>
        <w:bidi w:val="0"/>
        <w:spacing w:before="0" w:after="0"/>
        <w:jc w:val="left"/>
        <w:outlineLvl w:val="0"/>
        <w:rPr>
          <w:sz w:val="24"/>
        </w:rPr>
      </w:pPr>
      <w:r>
        <w:rPr>
          <w:sz w:val="24"/>
        </w:rPr>
        <w:t>ПОДАЦИ О ПРИХОДИМА И РАСХОДИМА…………………………………………..19</w:t>
      </w:r>
    </w:p>
    <w:p>
      <w:pPr>
        <w:pStyle w:val="Normal"/>
        <w:numPr>
          <w:ilvl w:val="0"/>
          <w:numId w:val="3"/>
        </w:numPr>
        <w:bidi w:val="0"/>
        <w:spacing w:before="0" w:after="0"/>
        <w:jc w:val="left"/>
        <w:outlineLvl w:val="0"/>
        <w:rPr>
          <w:sz w:val="24"/>
        </w:rPr>
      </w:pPr>
      <w:r>
        <w:rPr>
          <w:sz w:val="24"/>
        </w:rPr>
        <w:t>ПОДАЦИ О ИСПЛАЋЕНИМ ПЛАТАМА, ЗАРАДАМА И ДРУГИМ ПРИМАЊИМА.....................................................................................................................</w:t>
      </w:r>
      <w:r>
        <w:rPr>
          <w:rFonts w:eastAsia="宋体" w:cs="" w:cstheme="minorBidi" w:eastAsiaTheme="minorEastAsia"/>
          <w:color w:val="000000"/>
          <w:position w:val="0"/>
          <w:sz w:val="24"/>
          <w:sz w:val="24"/>
          <w:u w:val="none"/>
          <w:shd w:fill="auto" w:val="clear"/>
          <w:vertAlign w:val="baseline"/>
          <w:lang w:val="sr-RS"/>
        </w:rPr>
        <w:t>19</w:t>
      </w:r>
    </w:p>
    <w:p>
      <w:pPr>
        <w:pStyle w:val="Normal"/>
        <w:numPr>
          <w:ilvl w:val="0"/>
          <w:numId w:val="3"/>
        </w:numPr>
        <w:bidi w:val="0"/>
        <w:spacing w:before="0" w:after="0"/>
        <w:jc w:val="left"/>
        <w:outlineLvl w:val="0"/>
        <w:rPr>
          <w:sz w:val="24"/>
        </w:rPr>
      </w:pPr>
      <w:r>
        <w:rPr>
          <w:sz w:val="24"/>
        </w:rPr>
        <w:t>ПОДАЦИ О ЈАВНИМ НАБАВКАМА...............................................................................2</w:t>
      </w:r>
      <w:r>
        <w:rPr>
          <w:sz w:val="24"/>
          <w:lang w:val="sr-RS"/>
        </w:rPr>
        <w:t>0</w:t>
      </w:r>
    </w:p>
    <w:p>
      <w:pPr>
        <w:pStyle w:val="Normal"/>
        <w:numPr>
          <w:ilvl w:val="0"/>
          <w:numId w:val="3"/>
        </w:numPr>
        <w:bidi w:val="0"/>
        <w:spacing w:before="0" w:after="0"/>
        <w:jc w:val="left"/>
        <w:outlineLvl w:val="0"/>
        <w:rPr>
          <w:sz w:val="24"/>
        </w:rPr>
      </w:pPr>
      <w:r>
        <w:rPr>
          <w:sz w:val="24"/>
        </w:rPr>
        <w:t>ПОДАЦИ О СРЕДСТВИМА РАДА...................................................................................2</w:t>
      </w:r>
      <w:r>
        <w:rPr>
          <w:sz w:val="24"/>
          <w:lang w:val="sr-RS"/>
        </w:rPr>
        <w:t>0</w:t>
      </w:r>
    </w:p>
    <w:p>
      <w:pPr>
        <w:pStyle w:val="Normal"/>
        <w:numPr>
          <w:ilvl w:val="0"/>
          <w:numId w:val="3"/>
        </w:numPr>
        <w:bidi w:val="0"/>
        <w:spacing w:before="0" w:after="0"/>
        <w:jc w:val="left"/>
        <w:outlineLvl w:val="0"/>
        <w:rPr>
          <w:sz w:val="24"/>
        </w:rPr>
      </w:pPr>
      <w:r>
        <w:rPr>
          <w:sz w:val="24"/>
        </w:rPr>
        <w:t>ПОДАЦИ О ДРЖАВНОЈ ПОМОЋИ..................................................................................2</w:t>
      </w:r>
      <w:r>
        <w:rPr>
          <w:sz w:val="24"/>
          <w:lang w:val="sr-RS"/>
        </w:rPr>
        <w:t>1</w:t>
      </w:r>
    </w:p>
    <w:p>
      <w:pPr>
        <w:pStyle w:val="Normal"/>
        <w:numPr>
          <w:ilvl w:val="0"/>
          <w:numId w:val="3"/>
        </w:numPr>
        <w:bidi w:val="0"/>
        <w:spacing w:before="0" w:after="0"/>
        <w:jc w:val="left"/>
        <w:outlineLvl w:val="0"/>
        <w:rPr>
          <w:sz w:val="24"/>
        </w:rPr>
      </w:pPr>
      <w:r>
        <w:rPr>
          <w:sz w:val="24"/>
        </w:rPr>
        <w:t>ЧУВАЊЕ НОСАЧА ИНФОРМАЦИЈА..............................................................................2</w:t>
      </w:r>
      <w:r>
        <w:rPr>
          <w:sz w:val="24"/>
          <w:lang w:val="sr-RS"/>
        </w:rPr>
        <w:t>0</w:t>
      </w:r>
    </w:p>
    <w:p>
      <w:pPr>
        <w:pStyle w:val="Normal"/>
        <w:numPr>
          <w:ilvl w:val="0"/>
          <w:numId w:val="3"/>
        </w:numPr>
        <w:bidi w:val="0"/>
        <w:spacing w:before="0" w:after="0"/>
        <w:jc w:val="left"/>
        <w:outlineLvl w:val="0"/>
        <w:rPr>
          <w:sz w:val="24"/>
        </w:rPr>
      </w:pPr>
      <w:r>
        <w:rPr>
          <w:sz w:val="24"/>
        </w:rPr>
        <w:t>ВРСТЕ ИНФОРМАЦИЈА У ПОСЕДУ...............................................................................2</w:t>
      </w:r>
      <w:r>
        <w:rPr>
          <w:sz w:val="24"/>
          <w:lang w:val="sr-RS"/>
        </w:rPr>
        <w:t>2</w:t>
      </w:r>
    </w:p>
    <w:p>
      <w:pPr>
        <w:pStyle w:val="Normal"/>
        <w:numPr>
          <w:ilvl w:val="0"/>
          <w:numId w:val="3"/>
        </w:numPr>
        <w:bidi w:val="0"/>
        <w:spacing w:before="0" w:after="0"/>
        <w:jc w:val="left"/>
        <w:outlineLvl w:val="0"/>
        <w:rPr>
          <w:sz w:val="24"/>
        </w:rPr>
      </w:pPr>
      <w:r>
        <w:rPr>
          <w:sz w:val="24"/>
        </w:rPr>
        <w:t>ВРСТЕ ИНФОРМАЦИЈА КОЈИМА ДРЖАВНИ ОРГАН ОМОГУЋАВА ПРИСТУП.............................................................................................................................2</w:t>
      </w:r>
      <w:r>
        <w:rPr>
          <w:sz w:val="24"/>
          <w:lang w:val="sr-RS"/>
        </w:rPr>
        <w:t>3</w:t>
      </w:r>
    </w:p>
    <w:p>
      <w:pPr>
        <w:pStyle w:val="Normal"/>
        <w:numPr>
          <w:ilvl w:val="0"/>
          <w:numId w:val="3"/>
        </w:numPr>
        <w:bidi w:val="0"/>
        <w:jc w:val="left"/>
        <w:outlineLvl w:val="0"/>
        <w:rPr>
          <w:sz w:val="24"/>
        </w:rPr>
      </w:pPr>
      <w:r>
        <w:rPr>
          <w:sz w:val="24"/>
        </w:rPr>
        <w:t>ИНФОРМАЦИЈЕ О ПОДНОШЕЊУ ЗАХТЕВА ЗА ПРИСТУП ИНФОРМАЦИЈАМА...........................................................................................................2</w:t>
      </w:r>
      <w:r>
        <w:rPr>
          <w:sz w:val="24"/>
          <w:lang w:val="sr-RS"/>
        </w:rPr>
        <w:t>4</w:t>
      </w:r>
    </w:p>
    <w:p>
      <w:pPr>
        <w:pStyle w:val="Normal"/>
        <w:numPr>
          <w:ilvl w:val="0"/>
          <w:numId w:val="4"/>
        </w:numPr>
        <w:bidi w:val="0"/>
        <w:spacing w:before="0" w:after="0"/>
        <w:jc w:val="left"/>
        <w:outlineLvl w:val="0"/>
        <w:rPr>
          <w:sz w:val="24"/>
        </w:rPr>
      </w:pPr>
      <w:r>
        <w:rPr>
          <w:sz w:val="24"/>
        </w:rPr>
        <w:t>Захтев за обавештење, увид и издавање копије и упућивање....................................2</w:t>
      </w:r>
      <w:r>
        <w:rPr>
          <w:sz w:val="24"/>
          <w:lang w:val="sr-RS"/>
        </w:rPr>
        <w:t>4</w:t>
      </w:r>
    </w:p>
    <w:p>
      <w:pPr>
        <w:pStyle w:val="Normal"/>
        <w:numPr>
          <w:ilvl w:val="0"/>
          <w:numId w:val="4"/>
        </w:numPr>
        <w:bidi w:val="0"/>
        <w:spacing w:before="0" w:after="0"/>
        <w:jc w:val="left"/>
        <w:outlineLvl w:val="1"/>
        <w:rPr>
          <w:sz w:val="24"/>
        </w:rPr>
      </w:pPr>
      <w:r>
        <w:rPr>
          <w:sz w:val="24"/>
        </w:rPr>
        <w:t>Одлучивање по захтеву..................................................................................................2</w:t>
      </w:r>
      <w:r>
        <w:rPr>
          <w:rFonts w:eastAsia="宋体" w:cs="" w:cstheme="minorBidi" w:eastAsiaTheme="minorEastAsia"/>
          <w:color w:val="000000"/>
          <w:position w:val="0"/>
          <w:sz w:val="24"/>
          <w:sz w:val="24"/>
          <w:u w:val="none"/>
          <w:shd w:fill="auto" w:val="clear"/>
          <w:vertAlign w:val="baseline"/>
          <w:lang w:val="sr-RS"/>
        </w:rPr>
        <w:t>5</w:t>
      </w:r>
    </w:p>
    <w:p>
      <w:pPr>
        <w:pStyle w:val="Normal"/>
        <w:numPr>
          <w:ilvl w:val="0"/>
          <w:numId w:val="4"/>
        </w:numPr>
        <w:bidi w:val="0"/>
        <w:spacing w:before="0" w:after="0"/>
        <w:jc w:val="left"/>
        <w:outlineLvl w:val="1"/>
        <w:rPr>
          <w:sz w:val="24"/>
        </w:rPr>
      </w:pPr>
      <w:r>
        <w:rPr>
          <w:sz w:val="24"/>
        </w:rPr>
        <w:t>Накнада............................................................................................................................2</w:t>
      </w:r>
      <w:r>
        <w:rPr>
          <w:sz w:val="24"/>
          <w:lang w:val="sr-RS"/>
        </w:rPr>
        <w:t>6</w:t>
      </w:r>
    </w:p>
    <w:p>
      <w:pPr>
        <w:pStyle w:val="Normal"/>
        <w:numPr>
          <w:ilvl w:val="0"/>
          <w:numId w:val="4"/>
        </w:numPr>
        <w:bidi w:val="0"/>
        <w:spacing w:before="0" w:after="0"/>
        <w:jc w:val="left"/>
        <w:outlineLvl w:val="1"/>
        <w:rPr>
          <w:sz w:val="24"/>
        </w:rPr>
      </w:pPr>
      <w:r>
        <w:rPr>
          <w:sz w:val="24"/>
        </w:rPr>
        <w:t>Стављање на увид и израда копије...............................................................................2</w:t>
      </w:r>
      <w:r>
        <w:rPr>
          <w:sz w:val="24"/>
          <w:lang w:val="sr-RS"/>
        </w:rPr>
        <w:t>6</w:t>
      </w:r>
    </w:p>
    <w:p>
      <w:pPr>
        <w:pStyle w:val="Normal"/>
        <w:numPr>
          <w:ilvl w:val="0"/>
          <w:numId w:val="4"/>
        </w:numPr>
        <w:bidi w:val="0"/>
        <w:spacing w:before="0" w:after="0"/>
        <w:jc w:val="left"/>
        <w:outlineLvl w:val="1"/>
        <w:rPr>
          <w:sz w:val="24"/>
        </w:rPr>
      </w:pPr>
      <w:r>
        <w:rPr>
          <w:sz w:val="24"/>
        </w:rPr>
        <w:t>Прослеђивање захтева Поверенику..............................................................................2</w:t>
      </w:r>
      <w:r>
        <w:rPr>
          <w:sz w:val="24"/>
          <w:lang w:val="sr-RS"/>
        </w:rPr>
        <w:t>6</w:t>
      </w:r>
    </w:p>
    <w:p>
      <w:pPr>
        <w:pStyle w:val="Normal"/>
        <w:numPr>
          <w:ilvl w:val="0"/>
          <w:numId w:val="4"/>
        </w:numPr>
        <w:bidi w:val="0"/>
        <w:jc w:val="left"/>
        <w:outlineLvl w:val="1"/>
        <w:rPr>
          <w:sz w:val="24"/>
        </w:rPr>
      </w:pPr>
      <w:r>
        <w:rPr>
          <w:sz w:val="24"/>
        </w:rPr>
        <w:t>Право на жалбу...............................................................................................................2</w:t>
      </w:r>
      <w:r>
        <w:rPr>
          <w:sz w:val="24"/>
          <w:lang w:val="sr-RS"/>
        </w:rPr>
        <w:t>7</w:t>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right"/>
        <w:outlineLvl w:val="4"/>
        <w:rPr>
          <w:b/>
          <w:b/>
          <w:sz w:val="24"/>
        </w:rPr>
      </w:pPr>
      <w:r>
        <w:rPr>
          <w:b/>
          <w:sz w:val="24"/>
        </w:rPr>
        <w:t>ОСНОВНИ ЈАВНИ ТУЖИЛАЦ</w:t>
      </w:r>
    </w:p>
    <w:p>
      <w:pPr>
        <w:pStyle w:val="Normal"/>
        <w:numPr>
          <w:ilvl w:val="0"/>
          <w:numId w:val="0"/>
        </w:numPr>
        <w:bidi w:val="0"/>
        <w:ind w:left="0" w:right="0" w:hanging="0"/>
        <w:jc w:val="right"/>
        <w:outlineLvl w:val="4"/>
        <w:rPr>
          <w:sz w:val="24"/>
        </w:rPr>
      </w:pPr>
      <w:r>
        <w:rPr>
          <w:b/>
          <w:sz w:val="24"/>
        </w:rPr>
        <w:t>Ранко Максимовић</w:t>
      </w:r>
    </w:p>
    <w:p>
      <w:pPr>
        <w:pStyle w:val="Normal"/>
        <w:numPr>
          <w:ilvl w:val="0"/>
          <w:numId w:val="0"/>
        </w:numPr>
        <w:bidi w:val="0"/>
        <w:ind w:left="0" w:right="0" w:hanging="0"/>
        <w:jc w:val="both"/>
        <w:outlineLvl w:val="4"/>
        <w:rPr>
          <w:sz w:val="24"/>
        </w:rPr>
      </w:pPr>
      <w:r>
        <w:rPr/>
      </w:r>
    </w:p>
    <w:sectPr>
      <w:headerReference w:type="default" r:id="rId3"/>
      <w:footerReference w:type="default" r:id="rId4"/>
      <w:type w:val="nextPage"/>
      <w:pgSz w:w="11906" w:h="16838"/>
      <w:pgMar w:left="1134" w:right="1134" w:header="709" w:top="1134" w:footer="709"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ind w:left="0" w:right="360" w:hanging="0"/>
      <w:jc w:val="left"/>
      <w:rPr>
        <w:rFonts w:ascii="Cambria" w:hAnsi="Cambria"/>
        <w:i/>
        <w:i/>
      </w:rPr>
    </w:pPr>
    <w:r>
      <mc:AlternateContent>
        <mc:Choice Requires="wps">
          <w:drawing>
            <wp:anchor behindDoc="1" distT="0" distB="0" distL="0" distR="0" simplePos="0" locked="0" layoutInCell="1" allowOverlap="1" relativeHeight="56">
              <wp:simplePos x="0" y="0"/>
              <wp:positionH relativeFrom="margin">
                <wp:align>right</wp:align>
              </wp:positionH>
              <wp:positionV relativeFrom="paragraph">
                <wp:posOffset>635</wp:posOffset>
              </wp:positionV>
              <wp:extent cx="170815" cy="177800"/>
              <wp:effectExtent l="0" t="0" r="0" b="0"/>
              <wp:wrapSquare wrapText="largest"/>
              <wp:docPr id="4" name="Frame2"/>
              <a:graphic xmlns:a="http://schemas.openxmlformats.org/drawingml/2006/main">
                <a:graphicData uri="http://schemas.microsoft.com/office/word/2010/wordprocessingShape">
                  <wps:wsp>
                    <wps:cNvSpPr/>
                    <wps:spPr>
                      <a:xfrm>
                        <a:off x="0" y="0"/>
                        <a:ext cx="170280" cy="177120"/>
                      </a:xfrm>
                      <a:prstGeom prst="rect">
                        <a:avLst/>
                      </a:prstGeom>
                      <a:noFill/>
                      <a:ln>
                        <a:noFill/>
                      </a:ln>
                    </wps:spPr>
                    <wps:style>
                      <a:lnRef idx="0"/>
                      <a:fillRef idx="0"/>
                      <a:effectRef idx="0"/>
                      <a:fontRef idx="minor"/>
                    </wps:style>
                    <wps:txbx>
                      <w:txbxContent>
                        <w:p>
                          <w:pPr>
                            <w:pStyle w:val="Footer"/>
                            <w:bidi w:val="0"/>
                            <w:jc w:val="left"/>
                            <w:rPr>
                              <w:rFonts w:ascii="Cambria" w:hAnsi="Cambria"/>
                              <w:sz w:val="24"/>
                            </w:rPr>
                          </w:pPr>
                          <w:r>
                            <w:rPr>
                              <w:rStyle w:val="Pagenumber"/>
                              <w:rFonts w:ascii="Cambria" w:hAnsi="Cambria"/>
                              <w:color w:val="000000"/>
                              <w:sz w:val="24"/>
                            </w:rPr>
                            <w:fldChar w:fldCharType="begin"/>
                          </w:r>
                          <w:r>
                            <w:rPr>
                              <w:rStyle w:val="Pagenumber"/>
                              <w:sz w:val="24"/>
                              <w:rFonts w:ascii="Cambria" w:hAnsi="Cambria"/>
                              <w:color w:val="000000"/>
                            </w:rPr>
                            <w:instrText> PAGE </w:instrText>
                          </w:r>
                          <w:r>
                            <w:rPr>
                              <w:rStyle w:val="Pagenumber"/>
                              <w:sz w:val="24"/>
                              <w:rFonts w:ascii="Cambria" w:hAnsi="Cambria"/>
                              <w:color w:val="000000"/>
                            </w:rPr>
                            <w:fldChar w:fldCharType="separate"/>
                          </w:r>
                          <w:r>
                            <w:rPr>
                              <w:rStyle w:val="Pagenumber"/>
                              <w:sz w:val="24"/>
                              <w:rFonts w:ascii="Cambria" w:hAnsi="Cambria"/>
                              <w:color w:val="000000"/>
                            </w:rPr>
                            <w:t>28</w:t>
                          </w:r>
                          <w:r>
                            <w:rPr>
                              <w:rStyle w:val="Pagenumber"/>
                              <w:sz w:val="24"/>
                              <w:rFonts w:ascii="Cambria" w:hAnsi="Cambria"/>
                              <w:color w:val="000000"/>
                            </w:rPr>
                            <w:fldChar w:fldCharType="end"/>
                          </w:r>
                        </w:p>
                      </w:txbxContent>
                    </wps:txbx>
                    <wps:bodyPr lIns="0" rIns="0" tIns="0" bIns="0">
                      <a:spAutoFit/>
                    </wps:bodyPr>
                  </wps:wsp>
                </a:graphicData>
              </a:graphic>
            </wp:anchor>
          </w:drawing>
        </mc:Choice>
        <mc:Fallback>
          <w:pict>
            <v:rect id="shape_0" ID="Frame2" stroked="f" style="position:absolute;margin-left:468.45pt;margin-top:0.05pt;width:13.35pt;height:13.9pt;mso-position-horizontal:right;mso-position-horizontal-relative:margin">
              <w10:wrap type="square"/>
              <v:fill o:detectmouseclick="t" on="false"/>
              <v:stroke color="#3465a4" joinstyle="round" endcap="flat"/>
              <v:textbox>
                <w:txbxContent>
                  <w:p>
                    <w:pPr>
                      <w:pStyle w:val="Footer"/>
                      <w:bidi w:val="0"/>
                      <w:jc w:val="left"/>
                      <w:rPr>
                        <w:rFonts w:ascii="Cambria" w:hAnsi="Cambria"/>
                        <w:sz w:val="24"/>
                      </w:rPr>
                    </w:pPr>
                    <w:r>
                      <w:rPr>
                        <w:rStyle w:val="Pagenumber"/>
                        <w:rFonts w:ascii="Cambria" w:hAnsi="Cambria"/>
                        <w:color w:val="000000"/>
                        <w:sz w:val="24"/>
                      </w:rPr>
                      <w:fldChar w:fldCharType="begin"/>
                    </w:r>
                    <w:r>
                      <w:rPr>
                        <w:rStyle w:val="Pagenumber"/>
                        <w:sz w:val="24"/>
                        <w:rFonts w:ascii="Cambria" w:hAnsi="Cambria"/>
                        <w:color w:val="000000"/>
                      </w:rPr>
                      <w:instrText> PAGE </w:instrText>
                    </w:r>
                    <w:r>
                      <w:rPr>
                        <w:rStyle w:val="Pagenumber"/>
                        <w:sz w:val="24"/>
                        <w:rFonts w:ascii="Cambria" w:hAnsi="Cambria"/>
                        <w:color w:val="000000"/>
                      </w:rPr>
                      <w:fldChar w:fldCharType="separate"/>
                    </w:r>
                    <w:r>
                      <w:rPr>
                        <w:rStyle w:val="Pagenumber"/>
                        <w:sz w:val="24"/>
                        <w:rFonts w:ascii="Cambria" w:hAnsi="Cambria"/>
                        <w:color w:val="000000"/>
                      </w:rPr>
                      <w:t>28</w:t>
                    </w:r>
                    <w:r>
                      <w:rPr>
                        <w:rStyle w:val="Pagenumber"/>
                        <w:sz w:val="24"/>
                        <w:rFonts w:ascii="Cambria" w:hAnsi="Cambria"/>
                        <w:color w:val="000000"/>
                      </w:rPr>
                      <w:fldChar w:fldCharType="end"/>
                    </w:r>
                  </w:p>
                </w:txbxContent>
              </v:textbox>
            </v:rect>
          </w:pict>
        </mc:Fallback>
      </mc:AlternateContent>
    </w:r>
    <w:r>
      <w:rPr>
        <w:rFonts w:ascii="Cambria" w:hAnsi="Cambria"/>
        <w:i/>
      </w:rPr>
      <w:t>Информатор о раду Основног јавног тужилаштва у Куршумлији</w:t>
    </w:r>
  </w:p>
  <w:p>
    <w:pPr>
      <w:pStyle w:val="Footer"/>
      <w:bidi w:val="0"/>
      <w:ind w:left="0" w:right="360" w:hanging="0"/>
      <w:jc w:val="left"/>
      <w:rPr>
        <w:rFonts w:ascii="Cambria" w:hAnsi="Cambria"/>
        <w:i/>
        <w:i/>
      </w:rPr>
    </w:pPr>
    <w:r>
      <w:rPr>
        <w:rFonts w:ascii="Cambria" w:hAnsi="Cambria"/>
        <w:i/>
      </w:rPr>
      <w:t>Датум последњег ажурирања: 03.</w:t>
    </w:r>
    <w:r>
      <w:rPr>
        <w:rFonts w:ascii="Cambria" w:hAnsi="Cambria"/>
        <w:i/>
        <w:lang w:val="sr-Latn-RS"/>
      </w:rPr>
      <w:t>06</w:t>
    </w:r>
    <w:r>
      <w:rPr>
        <w:rFonts w:ascii="Cambria" w:hAnsi="Cambria"/>
        <w:i/>
      </w:rPr>
      <w:t>.2020.</w:t>
    </w:r>
  </w:p>
  <w:p>
    <w:pPr>
      <w:pStyle w:val="Footer"/>
      <w:bidi w:val="0"/>
      <w:ind w:left="0" w:right="360" w:hanging="0"/>
      <w:jc w:val="left"/>
      <w:rPr>
        <w:rFonts w:ascii="Cambria" w:hAnsi="Cambria"/>
        <w:i/>
        <w:i/>
      </w:rPr>
    </w:pPr>
    <w:r>
      <w:rPr>
        <w:rFonts w:ascii="Cambria" w:hAnsi="Cambria"/>
        <w:i/>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rStyle w:val="Pagenumber"/>
      </w:rPr>
    </w:pPr>
    <w:r>
      <w:rPr/>
      <mc:AlternateContent>
        <mc:Choice Requires="wps">
          <w:drawing>
            <wp:anchor behindDoc="1" distT="0" distB="0" distL="0" distR="0" simplePos="0" locked="0" layoutInCell="1" allowOverlap="1" relativeHeight="29">
              <wp:simplePos x="0" y="0"/>
              <wp:positionH relativeFrom="margin">
                <wp:align>center</wp:align>
              </wp:positionH>
              <wp:positionV relativeFrom="paragraph">
                <wp:posOffset>635</wp:posOffset>
              </wp:positionV>
              <wp:extent cx="15875" cy="146050"/>
              <wp:effectExtent l="0" t="0" r="0" b="0"/>
              <wp:wrapSquare wrapText="largest"/>
              <wp:docPr id="2" name="Frame1"/>
              <a:graphic xmlns:a="http://schemas.openxmlformats.org/drawingml/2006/main">
                <a:graphicData uri="http://schemas.microsoft.com/office/word/2010/wordprocessingShape">
                  <wps:wsp>
                    <wps:cNvSpPr/>
                    <wps:spPr>
                      <a:xfrm>
                        <a:off x="0" y="0"/>
                        <a:ext cx="15120" cy="145440"/>
                      </a:xfrm>
                      <a:prstGeom prst="rect">
                        <a:avLst/>
                      </a:prstGeom>
                      <a:noFill/>
                      <a:ln>
                        <a:noFill/>
                      </a:ln>
                    </wps:spPr>
                    <wps:style>
                      <a:lnRef idx="0"/>
                      <a:fillRef idx="0"/>
                      <a:effectRef idx="0"/>
                      <a:fontRef idx="minor"/>
                    </wps:style>
                    <wps:txbx>
                      <w:txbxContent>
                        <w:p>
                          <w:pPr>
                            <w:pStyle w:val="Header"/>
                            <w:bidi w:val="0"/>
                            <w:jc w:val="left"/>
                            <w:rPr>
                              <w:rStyle w:val="Pagenumber"/>
                              <w:color w:val="000000"/>
                            </w:rPr>
                          </w:pPr>
                          <w:r>
                            <w:rPr/>
                          </w:r>
                        </w:p>
                      </w:txbxContent>
                    </wps:txbx>
                    <wps:bodyPr lIns="0" rIns="0" tIns="0" bIns="0">
                      <a:spAutoFit/>
                    </wps:bodyPr>
                  </wps:wsp>
                </a:graphicData>
              </a:graphic>
            </wp:anchor>
          </w:drawing>
        </mc:Choice>
        <mc:Fallback>
          <w:pict>
            <v:rect id="shape_0" ID="Frame1" stroked="f" style="position:absolute;margin-left:240.35pt;margin-top:0.05pt;width:1.15pt;height:11.4pt;mso-position-horizontal:center;mso-position-horizontal-relative:margin">
              <w10:wrap type="none"/>
              <v:fill o:detectmouseclick="t" on="false"/>
              <v:stroke color="#3465a4" joinstyle="round" endcap="flat"/>
              <v:textbox>
                <w:txbxContent>
                  <w:p>
                    <w:pPr>
                      <w:pStyle w:val="Header"/>
                      <w:bidi w:val="0"/>
                      <w:jc w:val="left"/>
                      <w:rPr>
                        <w:rStyle w:val="Pagenumber"/>
                        <w:color w:val="000000"/>
                      </w:rPr>
                    </w:pPr>
                    <w:r>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06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r-Latn-R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qFormat="1"/>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qFormat="1"/>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qFormat="1"/>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keepNext w:val="false"/>
      <w:keepLines w:val="false"/>
      <w:widowControl/>
      <w:shd w:val="clear" w:fill="auto"/>
      <w:suppressAutoHyphens w:val="false"/>
      <w:bidi w:val="0"/>
      <w:spacing w:lineRule="auto" w:line="240" w:beforeAutospacing="0" w:before="0" w:afterAutospacing="0" w:after="0"/>
      <w:ind w:left="0" w:right="0" w:hanging="0"/>
      <w:jc w:val="left"/>
    </w:pPr>
    <w:rPr>
      <w:rFonts w:ascii="Times New Roman" w:hAnsi="Times New Roman" w:eastAsia="宋体" w:cs="" w:cstheme="minorBidi" w:eastAsiaTheme="minorEastAsia"/>
      <w:color w:val="000000"/>
      <w:kern w:val="0"/>
      <w:position w:val="0"/>
      <w:sz w:val="20"/>
      <w:sz w:val="20"/>
      <w:szCs w:val="20"/>
      <w:u w:val="none"/>
      <w:shd w:fill="auto" w:val="clear"/>
      <w:vertAlign w:val="baseline"/>
      <w:lang w:val="sr-Latn-RS" w:eastAsia="zh-CN" w:bidi="hi-IN"/>
    </w:rPr>
  </w:style>
  <w:style w:type="character" w:styleId="DefaultParagraphFont" w:default="1">
    <w:name w:val="Default Paragraph Font"/>
    <w:uiPriority w:val="0"/>
    <w:semiHidden/>
    <w:qFormat/>
    <w:rPr/>
  </w:style>
  <w:style w:type="character" w:styleId="InternetLink">
    <w:name w:val="Hyperlink"/>
    <w:basedOn w:val="DefaultParagraphFont"/>
    <w:uiPriority w:val="0"/>
    <w:qFormat/>
    <w:rPr>
      <w:color w:val="0000FF"/>
      <w:u w:val="single"/>
    </w:rPr>
  </w:style>
  <w:style w:type="character" w:styleId="Linenumber">
    <w:name w:val="line number"/>
    <w:basedOn w:val="DefaultParagraphFont"/>
    <w:uiPriority w:val="0"/>
    <w:semiHidden/>
    <w:qFormat/>
    <w:rPr/>
  </w:style>
  <w:style w:type="character" w:styleId="Pagenumber">
    <w:name w:val="page number"/>
    <w:basedOn w:val="DefaultParagraphFont"/>
    <w:uiPriority w:val="0"/>
    <w:qFormat/>
    <w:rPr/>
  </w:style>
  <w:style w:type="character" w:styleId="BalloonTextChar" w:customStyle="1">
    <w:name w:val="Balloon Text Char"/>
    <w:basedOn w:val="DefaultParagraphFont"/>
    <w:link w:val="2"/>
    <w:uiPriority w:val="0"/>
    <w:qFormat/>
    <w:rPr>
      <w:rFonts w:ascii="Tahoma" w:hAnsi="Tahoma"/>
      <w:sz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16"/>
    <w:uiPriority w:val="0"/>
    <w:qFormat/>
    <w:pPr/>
    <w:rPr>
      <w:rFonts w:ascii="Tahoma" w:hAnsi="Tahoma"/>
      <w:sz w:val="16"/>
    </w:rPr>
  </w:style>
  <w:style w:type="paragraph" w:styleId="HeaderandFooter">
    <w:name w:val="Header and Footer"/>
    <w:basedOn w:val="Normal"/>
    <w:qFormat/>
    <w:pPr/>
    <w:rPr/>
  </w:style>
  <w:style w:type="paragraph" w:styleId="Footer">
    <w:name w:val="Footer"/>
    <w:basedOn w:val="Normal"/>
    <w:uiPriority w:val="0"/>
    <w:pPr>
      <w:tabs>
        <w:tab w:val="clear" w:pos="720"/>
        <w:tab w:val="center" w:pos="4320" w:leader="none"/>
        <w:tab w:val="right" w:pos="8640" w:leader="none"/>
      </w:tabs>
    </w:pPr>
    <w:rPr/>
  </w:style>
  <w:style w:type="paragraph" w:styleId="Header">
    <w:name w:val="Header"/>
    <w:basedOn w:val="Normal"/>
    <w:uiPriority w:val="0"/>
    <w:qFormat/>
    <w:pPr>
      <w:tabs>
        <w:tab w:val="clear" w:pos="720"/>
        <w:tab w:val="center" w:pos="4320" w:leader="none"/>
        <w:tab w:val="right" w:pos="8640" w:leader="none"/>
      </w:tabs>
    </w:pPr>
    <w:rPr/>
  </w:style>
  <w:style w:type="paragraph" w:styleId="Contents1">
    <w:name w:val="TOC 1"/>
    <w:basedOn w:val="Normal"/>
    <w:next w:val="Normal"/>
    <w:uiPriority w:val="0"/>
    <w:qFormat/>
    <w:pPr>
      <w:shd w:val="clear" w:fill="FFFFFF"/>
      <w:tabs>
        <w:tab w:val="clear" w:pos="720"/>
        <w:tab w:val="right" w:pos="9060" w:leader="dot"/>
      </w:tabs>
    </w:pPr>
    <w:rPr/>
  </w:style>
  <w:style w:type="paragraph" w:styleId="Contents2">
    <w:name w:val="TOC 2"/>
    <w:basedOn w:val="Normal"/>
    <w:next w:val="Normal"/>
    <w:uiPriority w:val="0"/>
    <w:pPr>
      <w:ind w:left="200" w:right="0" w:hanging="0"/>
    </w:pPr>
    <w:rPr/>
  </w:style>
  <w:style w:type="paragraph" w:styleId="ListParagraph">
    <w:name w:val="List Paragraph"/>
    <w:basedOn w:val="Normal"/>
    <w:uiPriority w:val="0"/>
    <w:qFormat/>
    <w:pPr>
      <w:ind w:left="720" w:right="0" w:hanging="0"/>
    </w:pPr>
    <w:rPr/>
  </w:style>
  <w:style w:type="paragraph" w:styleId="FrameContents">
    <w:name w:val="Frame Contents"/>
    <w:basedOn w:val="Normal"/>
    <w:qFormat/>
    <w:pPr/>
    <w:rPr/>
  </w:style>
  <w:style w:type="table" w:default="1" w:styleId="11">
    <w:name w:val="Normal Table"/>
    <w:uiPriority w:val="0"/>
    <w:qFormat/>
    <w:tblPr>
      <w:tblCellMar>
        <w:top w:w="0" w:type="dxa"/>
        <w:left w:w="108" w:type="dxa"/>
        <w:bottom w:w="0" w:type="dxa"/>
        <w:right w:w="108" w:type="dxa"/>
      </w:tblCellMar>
    </w:tblPr>
  </w:style>
  <w:style w:type="table" w:styleId="12">
    <w:name w:val="Table Grid"/>
    <w:basedOn w:val="1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1"/>
    <w:uiPriority w:val="0"/>
    <w:tblPr>
      <w:tblCellMar>
        <w:top w:w="0" w:type="dxa"/>
        <w:left w:w="108" w:type="dxa"/>
        <w:bottom w:w="0" w:type="dxa"/>
        <w:right w:w="108" w:type="dxa"/>
      </w:tblCellMar>
    </w:tblPr>
  </w:style>
  <w:style w:type="table" w:styleId="14">
    <w:name w:val="Table Simple 1"/>
    <w:basedOn w:val="11"/>
    <w:uiPriority w:val="0"/>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128</TotalTime>
  <Application>LibreOffice/6.4.4.2$Windows_X86_64 LibreOffice_project/3d775be2011f3886db32dfd395a6a6d1ca2630ff</Application>
  <Pages>28</Pages>
  <Words>9745</Words>
  <Characters>57732</Characters>
  <CharactersWithSpaces>67226</CharactersWithSpaces>
  <Paragraphs>772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2018-06-18T09:49:00Z</dcterms:created>
  <dc:creator>Okruzno javno tuzilastvo</dc:creator>
  <dc:description/>
  <dc:language>sr-Latn-RS</dc:language>
  <cp:lastModifiedBy/>
  <cp:lastPrinted>2020-06-04T15:21:01Z</cp:lastPrinted>
  <dcterms:modified xsi:type="dcterms:W3CDTF">2020-06-04T14:47:29Z</dcterms:modified>
  <cp:revision>42</cp:revision>
  <dc:subject/>
  <dc:title>Na osnovu člana 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LinksUpToDate">
    <vt:bool>0</vt:bool>
  </property>
  <property fmtid="{D5CDD505-2E9C-101B-9397-08002B2CF9AE}" pid="4" name="ScaleCrop">
    <vt:bool>0</vt:bool>
  </property>
</Properties>
</file>