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ИНФОРМАТОР О РАДУ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ОСНОВНОГ ЈАВНОГ ТУЖИЛАШТВА У ПРИЈЕПОЉУ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 Пријепољу, 05. јул 2019. године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Ажуриран је са стањем на дан 05. јул 2019. године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САДРЖАЈ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Основни подаци о државном органу и информатору  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рганизациона структура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функција старешина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4. O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пис правила у вези са јавношћу рада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Списак најчешће тражених информација од јавног значаја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надлежности, овлашћења и обавеза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7.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поступања у оквиру надлежности, овлашћења и обавеза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Наво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ђење прописа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9.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Услуге које орган пружа заинтересованим лицима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10.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Поступак ради пружања услуга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11.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Преглед података о пруженим услугама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12.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Подаци о приходима и расходима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13.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Подаци о јавним набавкама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14.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Подаци о државној помоћи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 w:righ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15.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Подаци о исплаћеним п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латама, зарадама и другим примањима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 w:righ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16.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Подаци о средствима рада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 w:righ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17.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Чување носача информација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 w:righ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18.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Врсте информација у поседу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 w:righ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19.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Врсте информација којима државни орган омогућава приступ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 w:right="-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20.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Информације о подношењу захтева о приступу информација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ab/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Основни подаци о државном органу и информатору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white"/>
          <w:lang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Информатор о раду Основног јавног тужилаштва у Пријепољу сачињен је у складу са чланом 39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Закона о слободном приступу информацијама од јавног значаја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(„Службени гласник Републике Срб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ије” број 120/04, 54/07, 104/2009 и 36/10), Закон о заштити података о личности (“Службени гласник Републике Србије” број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97/2008, 104/2009, 68/2012 и 107/2012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) и Упутством за израду и објављивање информатора о раду државног органа („Службени гласник Репуб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лике Србије” број 68/2010).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За тачност и потпуност података које садржи Информатор одговорно лице је Јасминка Бошковић, овлашћено лице ради поступања по захтевима за слободан приступ информацијама од јавног значаја у Основном јавном тужилаштву у Пријепољ</w:t>
      </w:r>
      <w:r>
        <w:rPr>
          <w:rFonts w:ascii="Times New Roman" w:hAnsi="Times New Roman" w:cs="Times New Roman"/>
          <w:sz w:val="24"/>
          <w:szCs w:val="24"/>
          <w:lang w:val="ru-RU"/>
        </w:rPr>
        <w:t>у.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Овај Информатор садржи основне податке о оснивању, организацији и раду Основног јавног тужилаштва у Пријепољу, као и релевантне податке о начину омогућавања приступа информацијама од јавног значаја заинтересованим лицима као и друге податке који су 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значаја за садржину, обим и начин остваривања овог права.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Информатор о раду ажуриран је са стањем на дан 05. јул 2019. године.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Увид у информатор о раду Основног јавног тужилаштва у Пријепољу може се остварити  преко званичног веб сајта Апелационог јав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ног тужилаштва у Крагујевцу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www.kg.ap.jt.rs/sr/</w:t>
        </w:r>
      </w:hyperlink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Назив органа: Основно јавно тужилаштво у Пријепољу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Адреса: Ул. Валтерова број 171, Пријепоље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Матични број:  17773640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ПИБ: 106400716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Телефон: 033/712-280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Факс</w:t>
      </w:r>
      <w:r>
        <w:rPr>
          <w:rFonts w:ascii="Times New Roman" w:hAnsi="Times New Roman" w:cs="Times New Roman"/>
          <w:sz w:val="24"/>
          <w:szCs w:val="24"/>
          <w:lang w:val="ru-RU"/>
        </w:rPr>
        <w:t>: 033/712 280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Електронска адреса: ojtprijep@mts.rs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Контакт: Писарница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Основно јавно тужилаштво у Пријепољу је индиректни корисник буџетских средстава Републике Србије.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Овлашћено лице за сарадњу са новинарима и јавним гласилима – заменик јавног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тужиоца </w:t>
      </w:r>
      <w:r>
        <w:rPr>
          <w:rFonts w:ascii="Times New Roman" w:hAnsi="Times New Roman" w:cs="Times New Roman"/>
          <w:sz w:val="24"/>
          <w:szCs w:val="24"/>
          <w:lang w:val="ru-RU"/>
        </w:rPr>
        <w:t>Јасминка Бошковић, чији је контакт телефон 033/2445-620.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Овлашћено лице за поступање по захтевима за слободан приступ информацијама од јавног значаја је заменик јавног тужиоца Јасминка Бошковић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чији је контакт телефон 033/2445 620.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Радно вре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 Основног јавног тужилаштва у Пријепољу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Радно време Основног јавног тужилаштва у Пријепољу је од 7,30 до 15,30 часова.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Поједине процесне радње у поступку које се сматрају хитним и не трпе одлагање спровешће се без обзира на утврђено радно време. Јавн</w:t>
      </w:r>
      <w:r>
        <w:rPr>
          <w:rFonts w:ascii="Times New Roman" w:hAnsi="Times New Roman" w:cs="Times New Roman"/>
          <w:sz w:val="24"/>
          <w:szCs w:val="24"/>
          <w:lang w:val="ru-RU"/>
        </w:rPr>
        <w:t>и тужилац доноси распоред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дежурстава на месечном нивоу.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Оснивање Тужилаштва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Основно јавно тужилаштво у Пријепољу основано је Законом о седиштима и подручјима судова и јавних тужилаштава („Службени гласник Републике Србије", број 101/2013 од 20.11.2013</w:t>
      </w:r>
      <w:r>
        <w:rPr>
          <w:rFonts w:ascii="Times New Roman" w:hAnsi="Times New Roman" w:cs="Times New Roman"/>
          <w:sz w:val="24"/>
          <w:szCs w:val="24"/>
          <w:lang w:val="ru-RU"/>
        </w:rPr>
        <w:t>. године), а са радом је почело 1.1.2010. године, као правни следбеник Општинског јавног тужилаштва у Новој Вароши, Општинског јавног тужилаштва у Пријепољу и Општинског јавног тужилаштва у Прибоју.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Решењем Републичког јавног тужилаштва П број 102/2018 о</w:t>
      </w:r>
      <w:r>
        <w:rPr>
          <w:rFonts w:ascii="Times New Roman" w:hAnsi="Times New Roman" w:cs="Times New Roman"/>
          <w:sz w:val="24"/>
          <w:szCs w:val="24"/>
          <w:lang w:val="ru-RU"/>
        </w:rPr>
        <w:t>д 27.07.2018. године постављен за вршиоца функције Основног јавног тужиоца у Пријепољу Растко Живадиновић почев од 31.07.2018. године а највише годину дана.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Законски оквир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 о јавном тужилаштву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(„Службени гласник Републике Србије“ број 116/08, 1</w:t>
      </w:r>
      <w:r>
        <w:rPr>
          <w:rFonts w:ascii="Times New Roman" w:hAnsi="Times New Roman" w:cs="Times New Roman"/>
          <w:sz w:val="24"/>
          <w:szCs w:val="24"/>
          <w:lang w:val="ru-RU"/>
        </w:rPr>
        <w:t>04/09, 101/10, 78/11, 101/11, 38/12, 121/12, 101/2013, 111/14 и 117/14);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/>
        </w:rPr>
      </w:pP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 о седиштима и подручјима судова и јавних тужилаштава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(„Службени гласник Републике Србије“ број 101/2013);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Законик о кривичном поступку ("Службени гласник Републике Србиј</w:t>
      </w:r>
      <w:r>
        <w:rPr>
          <w:rFonts w:ascii="Times New Roman" w:hAnsi="Times New Roman" w:cs="Times New Roman"/>
          <w:sz w:val="24"/>
          <w:szCs w:val="24"/>
          <w:lang w:val="ru-RU"/>
        </w:rPr>
        <w:t>е", број 72/11, 101/11, 121/12, 32/13, 45/13 и 55/14);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Кривични законик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("Службени гласник Републике Србије", број 85/05, 88/05, 107/05, 72/09, 111/09, 121/2012, 104/2013 и 108/14);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Правилник о управи у јавним тужилаштвима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("Службени гласник Републ</w:t>
      </w:r>
      <w:r>
        <w:rPr>
          <w:rFonts w:ascii="Times New Roman" w:hAnsi="Times New Roman" w:cs="Times New Roman"/>
          <w:sz w:val="24"/>
          <w:szCs w:val="24"/>
          <w:lang w:val="ru-RU"/>
        </w:rPr>
        <w:t>ике Србије", број 110/2009, 87/2010, 5/2012).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Надлежност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Стварна надлежност јавног тужилаштва прописана је чланом 14. Закона о јавном тужилаштву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одређује се у складу са одредбама закона које важе за утврђивање стварне надлежности суда (Закон о уређењ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судова) пред којим јавно тужилаштво поступа, осим када законом није друкчије одређено.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 јавно тужилаштво у Пријепољу поступа пред Основним судом у Пријепољу и Основним судом у Прибоју и стварно је надлежно за кривично гоњење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учинилаца кривичних </w:t>
      </w:r>
      <w:r>
        <w:rPr>
          <w:rFonts w:ascii="Times New Roman" w:hAnsi="Times New Roman" w:cs="Times New Roman"/>
          <w:sz w:val="24"/>
          <w:szCs w:val="24"/>
          <w:lang w:val="ru-RU"/>
        </w:rPr>
        <w:t>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Месна надлежност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сновног јавног тужилаштва у Пријепољу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одређена је 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аконом о седиштима и подручјима судова и јавних тужилаштава </w:t>
      </w:r>
      <w:r>
        <w:rPr>
          <w:rFonts w:ascii="Times New Roman" w:hAnsi="Times New Roman" w:cs="Times New Roman"/>
          <w:sz w:val="24"/>
          <w:szCs w:val="24"/>
          <w:lang w:val="ru-RU"/>
        </w:rPr>
        <w:t>(„Службени гласник Републике Србије“ број 101/13).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Наиме, oво тужилаштво основано је и своју надлежност врши на територији градских општина Пријепоље, Нова Варош, док је за територију Општине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Прибој основано Одељење Основног јавног тужилаштва у Пријепољу са седиштем у Прибоју које је почело са радом 01.07.2014. године.</w:t>
      </w:r>
    </w:p>
    <w:p w:rsidR="00000000" w:rsidRDefault="00B75D27">
      <w:pPr>
        <w:widowControl w:val="0"/>
        <w:tabs>
          <w:tab w:val="left" w:pos="720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Седиште Основног јавног тужилаштва у Пријепољу је у згради Основног суда у Пријепољу, у улици Валтерова број 171,  а седи</w:t>
      </w:r>
      <w:r>
        <w:rPr>
          <w:rFonts w:ascii="Times New Roman" w:hAnsi="Times New Roman" w:cs="Times New Roman"/>
          <w:sz w:val="24"/>
          <w:szCs w:val="24"/>
          <w:lang w:val="ru-RU"/>
        </w:rPr>
        <w:t>ште Одељења Основног јавног тужилаштва у Пријепољу, Одељење Прибој је у згради Основног суда у Прибоју, у улици Вука Караџића бр.20.</w:t>
      </w: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Организациона структура Основног јавног тужилаштва у Пријепољу</w:t>
      </w: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Основно јавно тужилаштво чине в.ф. јавног тужиоца, 4 з</w:t>
      </w:r>
      <w:r>
        <w:rPr>
          <w:rFonts w:ascii="Times New Roman" w:hAnsi="Times New Roman" w:cs="Times New Roman"/>
          <w:sz w:val="24"/>
          <w:szCs w:val="24"/>
          <w:lang w:val="ru-RU"/>
        </w:rPr>
        <w:t>аменика јавног тужиоца и особље у јавном тужилаштву.</w:t>
      </w: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Јавног тужиоца, на предлог Владе, бира Народна скупштина Републике Србије на период од шест година и може поново бити биран. Влада предлаже Народној скупштини једног или више кандидата за избор на функц</w:t>
      </w:r>
      <w:r>
        <w:rPr>
          <w:rFonts w:ascii="Times New Roman" w:hAnsi="Times New Roman" w:cs="Times New Roman"/>
          <w:sz w:val="24"/>
          <w:szCs w:val="24"/>
          <w:lang w:val="ru-RU"/>
        </w:rPr>
        <w:t>ију јавног тужиоца са листе кандидата коју утврђује Државно веће тужилаца.</w:t>
      </w: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Народна скупштина, на предлог Државног већа тужилаца, бира за заменика јавног тужиоца лице које се први пут бира на ову функцију на период од три године.</w:t>
      </w: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Запослена лица у Тужила</w:t>
      </w:r>
      <w:r>
        <w:rPr>
          <w:rFonts w:ascii="Times New Roman" w:hAnsi="Times New Roman" w:cs="Times New Roman"/>
          <w:sz w:val="24"/>
          <w:szCs w:val="24"/>
          <w:lang w:val="ru-RU"/>
        </w:rPr>
        <w:t>штву дужна су да савесно и непристрасно врше своје послове, као и да чувају углед Тужилаштва.</w:t>
      </w: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Према Правилнику о унутрашњем уређењу и систематизацији радних места у  Основном јавном тужилаштву за обављање послова из делокруга Тужилаштва систематизовано ј</w:t>
      </w:r>
      <w:r>
        <w:rPr>
          <w:rFonts w:ascii="Times New Roman" w:hAnsi="Times New Roman" w:cs="Times New Roman"/>
          <w:sz w:val="24"/>
          <w:szCs w:val="24"/>
          <w:lang w:val="ru-RU"/>
        </w:rPr>
        <w:t>е 13 радних  места, са 13 запослених.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В.ф. јавног тужиоца Растко Живадиновић, поред послова који су Законом стављени у његову искључиву надлежност, организује рад јавног тужилаштва, врши надзор над радом заменика јавног тужиоца, тужилачких помоћника, тужи</w:t>
      </w:r>
      <w:r>
        <w:rPr>
          <w:rFonts w:ascii="Times New Roman" w:hAnsi="Times New Roman" w:cs="Times New Roman"/>
          <w:sz w:val="24"/>
          <w:szCs w:val="24"/>
          <w:lang w:val="ru-RU"/>
        </w:rPr>
        <w:t>лачких приправника, државних службеника и намештеника који су ангажовани на административно техничким пословима у овом тужилаштву, старајући се истовремено о коришћењу најефикаснијих метода и техничких средстава у административном пословању, у циљу благовр</w:t>
      </w:r>
      <w:r>
        <w:rPr>
          <w:rFonts w:ascii="Times New Roman" w:hAnsi="Times New Roman" w:cs="Times New Roman"/>
          <w:sz w:val="24"/>
          <w:szCs w:val="24"/>
          <w:lang w:val="ru-RU"/>
        </w:rPr>
        <w:t>емене реализације планираних послова и задатака.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Послове јавног тужиоца у одсутности или спречености за рад врши заменик јавног тужиоца Маида Иглица.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Заменици јавног тужиоца координирају рад, прате судску праксу, врше преглед експедиције, воде рачуна о а</w:t>
      </w:r>
      <w:r>
        <w:rPr>
          <w:rFonts w:ascii="Times New Roman" w:hAnsi="Times New Roman" w:cs="Times New Roman"/>
          <w:sz w:val="24"/>
          <w:szCs w:val="24"/>
          <w:lang w:val="ru-RU"/>
        </w:rPr>
        <w:t>журности и дисциплини, периодично подносе јавном тужиоцу извештаје о раду.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Организационе јединице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Полазећи од врсте, обима и сложености послова у Тужилаштву и потребе законитог, ажурног и ефикасног рада, у Тужилаштву се образују следеће организационе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јединице:</w:t>
      </w:r>
    </w:p>
    <w:p w:rsidR="00000000" w:rsidRDefault="00B75D27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Кривично одељење,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Писарница,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Доставна служба и техничка служба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Рачуноводство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Кривично одељење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У кривичном одељењу обављају се послови и задаци из надлежности Тужилаштва у кривичним и другим предметима.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Јавни тужилац је носилац 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праве у јавном тужилаштву и одговоран је за правилан и благовремен рад јавног тужилаштва, у складу са законом и Правилником о управи у јавним тужилаштвима.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Јавни тужилац одређује организацију и рад јавног тужилаштва, одлучује о правима по основу рада зам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еника јавног тужиоца и о радним односима особља у јавном тужилаштву,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отклања неправилност и одуговлачење у раду, стара се о одржавању самосталности у раду и угледу јавног тужилаштва и врши друге послове на које је овлашћен законом или другим прописом.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аменик јавног тужиоца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 вршити сваку радњу у кривичном поступку за коју је овлашћен јавни тужилац, без посебног овлашћења или пуномоћја и сноси одговорност за своје поступке. Послови у кривичном одељењу се обављају индивидуално, а послове заменика јавно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 тужиоца у Основном јавном тужилаштву у Пријепољу обављају три заменика јавног тужиоца Петко Пуцаревић, Марица Ђуровић Колџић, Маида Иглица и један заменик јавног тужиоца Јасминка Бошковић у Одељењу Основног јавног тужилаштва у Пријепољу, са седиштем у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ибоју.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Тужилачки помоћник,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помаже јавном тужиоцу и заменику јавног тужиоца, израђује нацрте аката, прима на записник кривичне пријаве, поднеске и изјаве грађана и самостално или под надзором врши послове предвиђене законом и другим прописима. Послове туж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илачког помоћника у звању вишег тужилачког сарадника обавља Весна Плескоњић.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Јавни тужилац или заменик јавног тужиоца кога он одреди, надзире рад тужилачког помоћника.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Тужилачки приправник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 прима на обуку у јавно тужилаштво, на одређено време од три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године, ради стицања радног искуства и услова за полагање правосудног испита.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Колегијум јавног тужилаштва, сачињавају јавни тужилац и сви заменици јавног тужиоца у том јавном тужилаштву. Колегијум јавног тужилаштва сазива и њиме руководи јавни тужилац 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заменик јавног тужиоца којег он одреди. Јавни тужилац је дужан да сазове колегијум јавног тужилаштва на захтев најмање трећине својих заменика.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Колегијум јавног тужилаштва одлучује ако је присутно најмање две трећине заменика јавног тужиоца, а одлука ј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пуноважна ако за њу гласа већина присутних чланова.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Колегијум јавног тужилаштва надлежан је да: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450" w:hanging="3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даје мишљење Државном већу тужилаца о кандидатима за заменике јавног тужиоца у свом или непосредно нижем јавном тужилаштву;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450" w:hanging="3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даје мишљење Државном већу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тужилаца о кандидатима за јавне тужиоце у непосредно нижем јавном тужилаштву;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450" w:hanging="3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разматра извештај о раду јавног тужилаштва за претходну годину;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разматра питања од значаја за стручно усавршавање и организацију јавног тужилаштва;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450" w:hanging="3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врши и друге послове 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складу са Правилником о управи у јавном тужилаштву.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450" w:hanging="30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Писарница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писарници се обављају административни послови, врши експедовање поште, пријем писмена и дактилографски послови у вези са радом и потребама јавног тужилаштва. У писарници су образована сле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дећа радна места: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управитељ писарнице - 1 извршилац- Обућина Енвера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уписничар - 2  извршиоца-Тописировић Зорица и Крџавац Миодраг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дактилограф – 2 извршиоца- Прелић Оливера и Дробњак Слободанка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Доставна служба и техничка служба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Доставна служба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рши послове достављања у просторијама тужилаштва и ван њих и послове експедиције поште, копирање списа и друге послове. У оквиру доставне службе предвиђено је 1 радно место са укупно 1 запосленим.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достављач возач - 1 извршилац- Крушкоња Милета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Рачуно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водство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180" w:firstLine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Рачуноводство врши послове из области финансијско-рачуноводственог пословања, као и послове набавке, вођења и чувања финансијске документације, економата и депозита, у складу са постојећим прописима. У рачуноводству је  формирано следеће радно 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есто: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180" w:firstLine="18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радно место за финансијско пословање - 1 извршилац- Топчић Суада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Основно јавно тужилаштво у Пријепољу – контакти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Кабинет 104 телефон 033/712 280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Растко Живадиновић – в.ф.јавног тужиоца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Кабинет  100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телефон 033/712 280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Маида Иглица - замени</w:t>
      </w:r>
      <w:r>
        <w:rPr>
          <w:rFonts w:ascii="Times New Roman" w:hAnsi="Times New Roman" w:cs="Times New Roman"/>
          <w:sz w:val="24"/>
          <w:szCs w:val="24"/>
          <w:lang w:val="ru-RU"/>
        </w:rPr>
        <w:t>к јавног тужиоца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Весна Плескоњић - виши тужилачки сарадник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Кабинет 101 телефон 033/712 280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Марица Ђуровић Колџић - заменик јавног тужиоца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Кабинет 102 телефон 033/712 280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Петко Пуцаревић - заменик јавног туж</w:t>
      </w:r>
      <w:r>
        <w:rPr>
          <w:rFonts w:ascii="Times New Roman" w:hAnsi="Times New Roman" w:cs="Times New Roman"/>
          <w:sz w:val="24"/>
          <w:szCs w:val="24"/>
          <w:lang w:val="ru-RU"/>
        </w:rPr>
        <w:t>иоца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Одељење Прибој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Кабинет 15 телефон 033/2445 620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Јасминка Бошковић - заменик јавног тужиоца</w:t>
      </w: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Организациона шема</w:t>
      </w: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61950" cy="361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Уписници који се воде у Основном јавном тужилаштву у Пријепољу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8338"/>
        <w:gridCol w:w="30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Уписникзапунолетнеучиниоцекривичнихдела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Евиденција"КТ"уписникасадржиосновнеподаткеопунолетнимлицимапријављениходстранеполицијеилидругихдржавнихор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гана, каоиодстранедругихлицауколикојавнитужилацилилицекојеонодредиутврдидајеизприложенихдоказаилинадругиначинучињеновероватнимпостојањеосновасумњедасуизвршилакривичнаделазакојесегоњењепредузимапослужбенојдужности, каоиосновнеподаткеопримљенимобавештењима,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предузетим</w:t>
            </w:r>
          </w:p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радњама, одлукаматужиоцаипоступајућихсудова.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Уписникзанепознатеучиниоцекривичнихдела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КТН"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Уписникзаосталекривичнепредмете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КТР"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Евиденција"КТР"уписникасадржиразнемолбе, притужбе, предлоге, извештајеидругеподнескедржавнихоргана, правни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хлицаиграђана, каоизавођењенаписаујавнимгласилимаиуписивањесазнањаодогађајимаодзначајазарадјавногтужилаштва, закривичнепријавекојесунеразумљиве, којесенемогусматратибилокаквимизворомсазнањаокривичномделуилиучиниоцуикојесуиздругихразлоганеподеснеза"КТ"уписн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Евиденцијалицапремакојимајепримењеноодлагањекривичноггоњењаилиодбачен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акривичнапријаваприменомначелаопортунитета- члан283. Законикаокривичномпоступку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ЕО"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Уписникзаевиденцијуодузетогновца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КДП-1"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Уписникзаевиденцијуодузетихпредмета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КДП-2"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Уписникзапрекршајнепредмете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Уписникзаграђанскепремете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ГТ"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9.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Уписникзаадминистративнепредметеиакте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10.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Уписникзапредметесаознакомстепенатајностистрогоповерљиво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Стр. пов"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11.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Уписникзапредметесаознакомстепенатајностиповерљиво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12.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Уписникзазадржаналица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13.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Уписникзаперсоналнепослове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14.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Уписникзафинансијско-материјалнепослове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15.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Уписниказаправналицакаоучиниоцекривичнихдела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КТПЛ"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16.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Уписникозахтевимаиодлукамаоостваривањуправанаприступинформацијамаодјавногзнач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аја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17.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Контролникпритвора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18.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Уписникзапредметеоподнетимпредлозимаизакључењуспоразумаопризнањукривичногдела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19.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Уписникзаодузимањеимовинскекористипроистеклеизкривичногдела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ОИК"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20.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Уписникзанаредбеоспровођењуистраге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 xml:space="preserve">21.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едбеоспровођењуистрагепротивнепознатогучиниоцакривичногдела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КТНИ"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8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22.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Уписникзаподигнутеоптужнице</w:t>
            </w:r>
          </w:p>
        </w:tc>
        <w:tc>
          <w:tcPr>
            <w:tcW w:w="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00000" w:rsidRDefault="00B7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КТО"</w:t>
            </w:r>
          </w:p>
        </w:tc>
      </w:tr>
    </w:tbl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Дужности јавног тужилаштва према грађанима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Члановима 61, 62, 63, 64 и 65. Правилника о управи у јавним тужилаштвима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прописане су дужности јавног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тужиоца према грађанима.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Јавна тужилаштва су дужна да организују свој рад тако да грађани могу на ефикасан начин остварити своја права и законом заштићене интересе из надлежности јавног тужилаштва.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Јавна тужилаштва су дужна да од грађана примају поднес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ке или на записник узимају кривичне пријаве, предлоге и друге изјаве ради предузимања радњи на које су овлашћени.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Такође су дужна да од грађана примају молбе, притужбе, предлоге и друге поднеске којима се подносиоци обраћају јавном тужилаштву ради заштит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 ефикасног остварења својих права, правних интереса и обавеза.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Јавни тужилац или заменик кога одреди врши пријем грађана и давање обавештења у одређено време које је означено на огласној табли јавног тужилаштва или на други начини и изузетно ван предв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иђеног времена кад јавни тужилац процени да је то неопходно.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Грађане који се интересују о стању поступка и одлукама по предметима датим у рад појединим заменицима јавног тужиоца, могу примити и дати потребна обавештења заменицима јавног тужиоца који пос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тупају у тим предметима у за то одређене дане.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Приликом давања обавештења не могу се давати изјаве о вероватном исходу поступка, нити оцене о правилности судских и радњи других органа или о одлукама суда и ових органа.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Радници у писарници могу на основ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података из уписника давати само обавештења на која их овласти јавни тужилац или заменик јавног тужиоца кога он одреди.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захтевима грађана за издавање уверења и потврда о чињеницама о којима јавна тужилаштва воде евиденцију јавна тужилаштва ће посту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пати без одлагања.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Такође, лица која имају оправдани интерес могу захтевати да им се дају на разматрање и фотокопирање поједини списи из предмета или предмети у којима јавни тужилац поступа.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Дозволу за разматрање предмета или издавање фотокопије списа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даје јавни тужилац или заменик јавног тужиоца кога он одреди. При давању одобрења водиће се рачуна о фази у којој се налази поступак по предмету и о интересима редовног одвијања поступка.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Разматрање списа у предмету врши се под контролом радника писарниц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Грађани су дужни да надокнаде трошкове и нужне издатке настале разматрањем или фотокопирањем списа према тарифнику који пропише министарство надлежно за правосуђе.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Опис функција старешина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Подаци који се односе на називе функција и имена стареш</w:t>
      </w:r>
      <w:r>
        <w:rPr>
          <w:rFonts w:ascii="Times New Roman" w:hAnsi="Times New Roman" w:cs="Times New Roman"/>
          <w:sz w:val="24"/>
          <w:szCs w:val="24"/>
          <w:lang w:val="ru-RU"/>
        </w:rPr>
        <w:t>ине Основног јавног тужилаштва у Пријепољу већ су наведени у претходном делу овог информатора.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Опис правила у вези са јавношћу рада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Подаци који се односе на правила у вези са јавношћу рада већ су наведени и описани у делу који се односи на организац</w:t>
      </w:r>
      <w:r>
        <w:rPr>
          <w:rFonts w:ascii="Times New Roman" w:hAnsi="Times New Roman" w:cs="Times New Roman"/>
          <w:sz w:val="24"/>
          <w:szCs w:val="24"/>
          <w:lang w:val="ru-RU"/>
        </w:rPr>
        <w:t>иону структуру тужилаштва.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Списак најчешће тражених информација од јавног значаја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Најчешће тражене информације од јавног значаја, су информације које се односе на поступање у конкретним предметима, а исте се траже на основу поднетих захтева за прист</w:t>
      </w:r>
      <w:r>
        <w:rPr>
          <w:rFonts w:ascii="Times New Roman" w:hAnsi="Times New Roman" w:cs="Times New Roman"/>
          <w:sz w:val="24"/>
          <w:szCs w:val="24"/>
          <w:lang w:val="ru-RU"/>
        </w:rPr>
        <w:t>уп информацијама од јавног значаја.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Опис надлежности, овлашћења и обавеза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Законски оквир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 о јавном тужилаштву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(„Службени гласник Републике Србије“ број 116/08, 104/09, 101/10, 78/11, 101/11, 38/12, 121/12, 101/2013, 111/14 и 117/14);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/>
        </w:rPr>
      </w:pP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</w:t>
      </w:r>
      <w:r>
        <w:rPr>
          <w:rFonts w:ascii="Times New Roman" w:hAnsi="Times New Roman" w:cs="Times New Roman"/>
          <w:sz w:val="24"/>
          <w:szCs w:val="24"/>
          <w:lang w:val="ru-RU"/>
        </w:rPr>
        <w:t>о седиштима и подручјима судова и јавних тужилаштава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(„Службени гласник Републике Србије“ број 101/2013);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Законик о кривичном поступку ("Службени гласник Републике Србије", број 72/11, 101/11, 121/12, 32/13, 45/13 и 55/14);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Кривични законик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("Служб</w:t>
      </w:r>
      <w:r>
        <w:rPr>
          <w:rFonts w:ascii="Times New Roman" w:hAnsi="Times New Roman" w:cs="Times New Roman"/>
          <w:sz w:val="24"/>
          <w:szCs w:val="24"/>
          <w:lang w:val="ru-RU"/>
        </w:rPr>
        <w:t>ени гласник Републике Србије", број 85/05, 88/05, 107/05, 72/09, 111/09, 121/2012, 104/2013 и 108/14);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Правилник о управи у јавним тужилаштвима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("Службени гласник Републике Србије", број 110/2009, 87/2010, 5/2012).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Надлежност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Стварна надлежност ј</w:t>
      </w:r>
      <w:r>
        <w:rPr>
          <w:rFonts w:ascii="Times New Roman" w:hAnsi="Times New Roman" w:cs="Times New Roman"/>
          <w:sz w:val="24"/>
          <w:szCs w:val="24"/>
          <w:lang w:val="ru-RU"/>
        </w:rPr>
        <w:t>авног тужилаштва прописана је чланом 14. Закона о јавном тужилаштву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одређује се у складу са одредбама закона које важе за утврђивање стварне надлежности суда (Закон о уређењу судова) пред којим јавно тужилаштво поступа, осим када законом није друкчије 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ређено.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 јавно тужилаштво у Пријепољу поступа пред Основним судом у Пријепољу и Основним судом у Прибоју и стварно је надлежно за кривично гоњење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учинилаца кривичних дела за која је као главна казна предвиђена новчана казна или казна затвора до де</w:t>
      </w:r>
      <w:r>
        <w:rPr>
          <w:rFonts w:ascii="Times New Roman" w:hAnsi="Times New Roman" w:cs="Times New Roman"/>
          <w:sz w:val="24"/>
          <w:szCs w:val="24"/>
          <w:lang w:val="ru-RU"/>
        </w:rPr>
        <w:t>сет година и десет година ако за гоњење учинилаца није законом предвиђена надлежност другог тужилаштва.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Месна надлежност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сновног јавног тужилаштва у Пријепољу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одређена је Законом о седиштима и подручјима судова и јавних тужилаштава </w:t>
      </w:r>
      <w:r>
        <w:rPr>
          <w:rFonts w:ascii="Times New Roman" w:hAnsi="Times New Roman" w:cs="Times New Roman"/>
          <w:sz w:val="24"/>
          <w:szCs w:val="24"/>
          <w:lang w:val="ru-RU"/>
        </w:rPr>
        <w:t>(„Службени гласник Ре</w:t>
      </w:r>
      <w:r>
        <w:rPr>
          <w:rFonts w:ascii="Times New Roman" w:hAnsi="Times New Roman" w:cs="Times New Roman"/>
          <w:sz w:val="24"/>
          <w:szCs w:val="24"/>
          <w:lang w:val="ru-RU"/>
        </w:rPr>
        <w:t>публике Србије“ број 101/13).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Наиме, oво тужилаштво основано је и своју надлежност врши на територији градских општина Пријепоље, Нова Варош, док је за територију Општине Прибој основано Одељење Основног јавног тужилаштва у Пријепољу са седиштем у При</w:t>
      </w:r>
      <w:r>
        <w:rPr>
          <w:rFonts w:ascii="Times New Roman" w:hAnsi="Times New Roman" w:cs="Times New Roman"/>
          <w:sz w:val="24"/>
          <w:szCs w:val="24"/>
          <w:lang w:val="ru-RU"/>
        </w:rPr>
        <w:t>боју које је почело са радом 01.07.2014. године.</w:t>
      </w: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Седиште Основног јавног тужилаштва у Пријепољу је у згради Основног суда у Пријепољу, у улици Валтерова број 171,  а седиште Одељења Основног јавног тужилаштва у Пријепољу, Одељење Прибој је у згради Осн</w:t>
      </w:r>
      <w:r>
        <w:rPr>
          <w:rFonts w:ascii="Times New Roman" w:hAnsi="Times New Roman" w:cs="Times New Roman"/>
          <w:sz w:val="24"/>
          <w:szCs w:val="24"/>
          <w:lang w:val="ru-RU"/>
        </w:rPr>
        <w:t>овног суда у Прибоју, у улици Вука Караџића бр.20.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Обим рада Основног јавног тужилаштва у Пријепољу од 01.01.2019. до 05.07.2019. године по уписницима је износио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КТ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уписнику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 - 289 </w:t>
      </w:r>
      <w:r>
        <w:rPr>
          <w:rFonts w:ascii="Calibri" w:hAnsi="Calibri" w:cs="Calibri"/>
          <w:sz w:val="24"/>
          <w:szCs w:val="24"/>
          <w:lang w:val="ru-RU"/>
        </w:rPr>
        <w:t>предмета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КТР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уписнику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– 949 </w:t>
      </w:r>
      <w:r>
        <w:rPr>
          <w:rFonts w:ascii="Calibri" w:hAnsi="Calibri" w:cs="Calibri"/>
          <w:sz w:val="24"/>
          <w:szCs w:val="24"/>
          <w:lang w:val="ru-RU"/>
        </w:rPr>
        <w:t>предмета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КТН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уписнику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 -  74 </w:t>
      </w:r>
      <w:r>
        <w:rPr>
          <w:rFonts w:ascii="Calibri" w:hAnsi="Calibri" w:cs="Calibri"/>
          <w:sz w:val="24"/>
          <w:szCs w:val="24"/>
          <w:lang w:val="ru-RU"/>
        </w:rPr>
        <w:t>пре</w:t>
      </w:r>
      <w:r>
        <w:rPr>
          <w:rFonts w:ascii="Calibri" w:hAnsi="Calibri" w:cs="Calibri"/>
          <w:sz w:val="24"/>
          <w:szCs w:val="24"/>
          <w:lang w:val="ru-RU"/>
        </w:rPr>
        <w:t>дмета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СК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уписнику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– 18 </w:t>
      </w:r>
      <w:r>
        <w:rPr>
          <w:rFonts w:ascii="Calibri" w:hAnsi="Calibri" w:cs="Calibri"/>
          <w:sz w:val="24"/>
          <w:szCs w:val="24"/>
          <w:lang w:val="ru-RU"/>
        </w:rPr>
        <w:t>предмета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КЕО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уписнику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–  47  </w:t>
      </w:r>
      <w:r>
        <w:rPr>
          <w:rFonts w:ascii="Calibri" w:hAnsi="Calibri" w:cs="Calibri"/>
          <w:sz w:val="24"/>
          <w:szCs w:val="24"/>
          <w:lang w:val="ru-RU"/>
        </w:rPr>
        <w:t>предмета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КТИ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уписнику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– 1 </w:t>
      </w:r>
      <w:r>
        <w:rPr>
          <w:rFonts w:ascii="Calibri" w:hAnsi="Calibri" w:cs="Calibri"/>
          <w:sz w:val="24"/>
          <w:szCs w:val="24"/>
          <w:lang w:val="ru-RU"/>
        </w:rPr>
        <w:t>предмета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КТО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уписнику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– 138 </w:t>
      </w:r>
      <w:r>
        <w:rPr>
          <w:rFonts w:ascii="Calibri" w:hAnsi="Calibri" w:cs="Calibri"/>
          <w:sz w:val="24"/>
          <w:szCs w:val="24"/>
          <w:lang w:val="ru-RU"/>
        </w:rPr>
        <w:t>предмета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НПТ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уписнику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– 94 </w:t>
      </w:r>
      <w:r>
        <w:rPr>
          <w:rFonts w:ascii="Calibri" w:hAnsi="Calibri" w:cs="Calibri"/>
          <w:sz w:val="24"/>
          <w:szCs w:val="24"/>
          <w:lang w:val="ru-RU"/>
        </w:rPr>
        <w:t>предмета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Строго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пов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sz w:val="24"/>
          <w:szCs w:val="24"/>
          <w:lang w:val="ru-RU"/>
        </w:rPr>
        <w:t>уписнику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– 49 </w:t>
      </w:r>
      <w:r>
        <w:rPr>
          <w:rFonts w:ascii="Calibri" w:hAnsi="Calibri" w:cs="Calibri"/>
          <w:sz w:val="24"/>
          <w:szCs w:val="24"/>
          <w:lang w:val="ru-RU"/>
        </w:rPr>
        <w:t>предмета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А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уписнику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– 449 </w:t>
      </w:r>
      <w:r>
        <w:rPr>
          <w:rFonts w:ascii="Calibri" w:hAnsi="Calibri" w:cs="Calibri"/>
          <w:sz w:val="24"/>
          <w:szCs w:val="24"/>
          <w:lang w:val="ru-RU"/>
        </w:rPr>
        <w:t>предмета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П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уписнику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– 28 </w:t>
      </w:r>
      <w:r>
        <w:rPr>
          <w:rFonts w:ascii="Calibri" w:hAnsi="Calibri" w:cs="Calibri"/>
          <w:sz w:val="24"/>
          <w:szCs w:val="24"/>
          <w:lang w:val="ru-RU"/>
        </w:rPr>
        <w:t>пре</w:t>
      </w:r>
      <w:r>
        <w:rPr>
          <w:rFonts w:ascii="Calibri" w:hAnsi="Calibri" w:cs="Calibri"/>
          <w:sz w:val="24"/>
          <w:szCs w:val="24"/>
          <w:lang w:val="ru-RU"/>
        </w:rPr>
        <w:t>дмета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 ПИ уписнику – 11 предмета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7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Опис поступања у оквиру надлежности, обавеза и овлашћења Основног јавног тужилаштва у Пријепољу,  </w:t>
      </w:r>
      <w:r>
        <w:rPr>
          <w:rFonts w:ascii="Times New Roman" w:hAnsi="Times New Roman" w:cs="Times New Roman"/>
          <w:sz w:val="24"/>
          <w:szCs w:val="24"/>
          <w:lang w:val="ru-RU"/>
        </w:rPr>
        <w:t>дат је у претходном сегменту којим су описане надлежности, овлашћења и обавезе Основног јавног тужилаштва у Пријепољу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Навођење прописа у раду Основног јавног тужилаштва у Пријепољу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Подаци који се односе на прописе које ово тужилаштво примењује у свом раду већ су наведени у претходном делу овог информатора.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9.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Услуге које се пружају заинтересованим лицима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Осн</w:t>
      </w:r>
      <w:r>
        <w:rPr>
          <w:rFonts w:ascii="Times New Roman" w:hAnsi="Times New Roman" w:cs="Times New Roman"/>
          <w:sz w:val="24"/>
          <w:szCs w:val="24"/>
          <w:lang w:val="ru-RU"/>
        </w:rPr>
        <w:t>овно јавно тужилаштво у Пријепољу нема регистровану услужну делатност и није пружало услуге заинтересованим лицима.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10.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Поступак ради пружања услуга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Основно јавно тужилаштво у Пријепољу није пружало услуге заинтересованим лицима.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11.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Преглед подата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ка о пруженим услугама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Основно јавно тужилаштво у Пријепољу није пружало услуге заинтересованим лицима.</w:t>
      </w: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/>
        </w:rPr>
        <w:t xml:space="preserve">12.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Подаци о приходима и расходима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 јавно тужилаштво у Пријепољу је у периоду од 01.01.2019. до 05.07.2019. године остварило укупан прих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 у износу од 11 529 032,79 динара, а укупан расход износио је  11 521 400,00 динара.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/>
        </w:rPr>
        <w:t xml:space="preserve">13.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Подаци о јавним набавкама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 јавно тужилаштво у Пријепољу у периоду од 01.01.2019. до 05.07.2019. године није спроводило поступак јавне набавке.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/>
        </w:rPr>
        <w:t xml:space="preserve">14.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Подаци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 о државној помоћи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 јавно тужилаштво у Пријепољу у периоду од 01.01.2019. до 05.07.2019. године нема података о државној помоћи, јер није додељивало помоћ другим лицима, с обзиром на то да је индиректни корисник буџетских средстава Републике Србиј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/>
        </w:rPr>
        <w:t xml:space="preserve">15.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Подаци о исплаћеним платама, зарадама и другим примањима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 јавно тужилаштво у Пријепољу је у назначеном временском периоду исплатило за носиоце јавно-тужилачке функције на име зараде износ од  4 965 825,02 динара, а за остале запослене изно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 од 4 374 539,90 динара.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односу на друга примања, односно накнаде, тужилаштво је за носиоце јавно-тужилачке функције исплатило износ од 0 динара, а за остале запослене износ од 0 динара.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/>
        </w:rPr>
        <w:t xml:space="preserve">16.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Подаци о средствима рада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Према стању пописа са 31.12.2018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године Основно јавно тужилаштво у Пријепољу располаже са канцеларијском опремом у вредности од 2.399.274,00 динара и вредности рачунарске опреме у износу од 1.393.541,00 динара.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/>
        </w:rPr>
        <w:t xml:space="preserve">17.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  <w:lang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  <w:lang w:val="ru-RU"/>
        </w:rPr>
        <w:t>Врсте информација у поседу начини чувања носача информација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Основно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јавно тужилаштво у Пријепољу поседује податке у вези са предметима, извештаје о раду, податке о именима и примањима запослених, систематизацији радних места и др.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18.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Чување носача информација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Носачи информација су: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предмети који се чувају у писарни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ци и електронском уписнику;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архивирани предмети који се чувају у архиви Тужилаштва;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извештаји о раду Тужилаштва који се чувају у архиви;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евиденције о именима запослених, њиховим примањима чувају се у архиви и рачуноводству и др.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 w:right="-1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/>
        </w:rPr>
        <w:t xml:space="preserve">19.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Врсте информациј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а којима државни орган омогућава приступ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 w:right="-18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-180"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 јавно тужилаштво у Пријепољу омогућава приступ информацијама од јавног значаја у складу са Законом о слободном приступу информација од јавног значаја.</w:t>
      </w:r>
    </w:p>
    <w:p w:rsidR="00000000" w:rsidRDefault="00B75D27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20.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Информације о подношењу захтева о приступу информ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ација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ab/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Информација од јавног значаја је информација којом располаже орган јавне власти, настала у раду или у вези са радом органа јавне власти, садржана у одређеном документу, а односи се на оно што јавност има оправдан интерес да зна. Да би се информа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ција сматрала информацијом од јавног значаја није битно на ком носачу информација (папир, трака, филм, електронски медији и слично) се налази документ који садржи информацију, датум настанка информације, начин сазнавања или друга својства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lastRenderedPageBreak/>
        <w:t>информације.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Свако физичко и правно лице, у складу са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  <w:lang w:val="ru-RU"/>
        </w:rPr>
        <w:t>о слободном приступу информацијама од јавног значаја, има право да поднесе захтев за приступ информацијама од јавног значаја којима располаже ово Тужилаштво.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Заинтересовано лице остварује право на приступ и</w:t>
      </w:r>
      <w:r>
        <w:rPr>
          <w:rFonts w:ascii="Times New Roman" w:hAnsi="Times New Roman" w:cs="Times New Roman"/>
          <w:sz w:val="24"/>
          <w:szCs w:val="24"/>
          <w:lang w:val="ru-RU"/>
        </w:rPr>
        <w:t>нформацијама на начин утврђен Законом.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Захтев се подноси у писаном облику, путем поште или усмено на записник у просторијама Тужилаштва.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Захтев мора бити јасан, прецизан и садржати све податаке предвиђене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слободном приступу информацијама </w:t>
      </w:r>
      <w:r>
        <w:rPr>
          <w:rFonts w:ascii="Times New Roman" w:hAnsi="Times New Roman" w:cs="Times New Roman"/>
          <w:sz w:val="24"/>
          <w:szCs w:val="24"/>
          <w:lang w:val="ru-RU"/>
        </w:rPr>
        <w:t>од јавног значаја, како би се по истом могло поступати.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Тужилаштво је дужно да омогући приступ информацијама и на основу усменог захтева тражиоца који се саопштава у записник и уноси у посебну евиденцију.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У прилогу овог информатора се налази образац захт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ева за приступ информацији од јавног значаја.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Ако захтев за слободан приступ информацијама од јавног значаја не садржи податке који су као обавезни предвиђени Законом </w:t>
      </w:r>
      <w:r>
        <w:rPr>
          <w:rFonts w:ascii="Times New Roman" w:hAnsi="Times New Roman" w:cs="Times New Roman"/>
          <w:sz w:val="24"/>
          <w:szCs w:val="24"/>
          <w:lang w:val="ru-RU"/>
        </w:rPr>
        <w:t>о слободном приступу информацијама од јавног значаја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, односно ако није уредан, овлашћено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лице тужилаштва дужно је да поучи тражиоца упутством о допуни како да те недостатке отклони. Ако тражилац у року од 15 дана од дана пријема упутства о допуни то не учини, а недостаци су такви да се по захтеву не може поступити, тужилаштво доноси закључак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о одбацивању захтева као неуредног. Тражилац може изјавити жалбу Поверенику ако орган власти одбаци или одбије захтев тражиоца, у року од 15 дана од дана када му је достављено решење или други акт, сходно члану 22. став 1. тачка 1. Закона о слободном прист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упу информација од јавног значаја, као и да подносилац захтева има право жалбе, односно право да покрене управни спор на закључак којим се захтев тражиоца одбацује као неуредан, сходно тачки 40. став 3. подтач. 9. Упутства за израду и објављивање информато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ра о раду државног органа (Сл. Гласник РС“, бр. 68/2010).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О поднетом захтеву одлучује јавни тужилац, односно заменик јавног тужиоца кога одреди јавни тужилац, као и колегијум Тужилаштва у предметима од посебног значаја.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Јавни тужилац и лица која он </w:t>
      </w:r>
      <w:r>
        <w:rPr>
          <w:rFonts w:ascii="Times New Roman" w:hAnsi="Times New Roman" w:cs="Times New Roman"/>
          <w:sz w:val="24"/>
          <w:szCs w:val="24"/>
          <w:lang w:val="ru-RU"/>
        </w:rPr>
        <w:t>одреди примају захтеве за приступ информацијама од јавног значаја, обавештавају тражиоца о поседовању информација и обезбеђују увид у документ који садржи тражену информацију, односно доставља тражену информацију, одбијају захтеве посебно образложеним реше</w:t>
      </w:r>
      <w:r>
        <w:rPr>
          <w:rFonts w:ascii="Times New Roman" w:hAnsi="Times New Roman" w:cs="Times New Roman"/>
          <w:sz w:val="24"/>
          <w:szCs w:val="24"/>
          <w:lang w:val="ru-RU"/>
        </w:rPr>
        <w:t>њем и пружају тражиоцима неопходну помоћ за остваривање њихових права.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Тужилаштво ће писменим путем обавестити тражиоца информације да ли је одобрило приступ информацији делимично или у целини, на начин предвиђен законом.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 давања тражене информације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Тужилаштво може затражити мишљење од вишег јавног тужилаштва о томе да ли то штети интересима поступка.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По усвојеном захтеву Тужилац сачињава службену белешку, а ако захтев одбије дужан је да донесе решење.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ab/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Ако Тужилаштво није у могућности да у</w:t>
      </w:r>
      <w:r>
        <w:rPr>
          <w:rFonts w:ascii="Times New Roman" w:hAnsi="Times New Roman" w:cs="Times New Roman"/>
          <w:sz w:val="24"/>
          <w:szCs w:val="24"/>
          <w:lang w:val="ru-RU"/>
        </w:rPr>
        <w:t>довољи захтеву о томе ће, обавестити подносиоца захтева са поуком о могућности подношења жалбе надлежном органу укључујући и право обраћања Поверенику за информације од јавног значаја.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8) </w:t>
      </w:r>
      <w:r>
        <w:rPr>
          <w:rFonts w:ascii="Times New Roman" w:hAnsi="Times New Roman" w:cs="Times New Roman"/>
          <w:sz w:val="24"/>
          <w:szCs w:val="24"/>
          <w:lang w:val="ru-RU"/>
        </w:rPr>
        <w:t>Уколико одобри захтев тражиоца информације, тужилаштво ће из списа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издвојити само тражену информацију и доставити је подносиоцу, односно омогућити му увид у ту информацију.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Подносилац захтева врши увид у тражену информацију у писарници Тужилаштва, односно у другој просторији коју одреди тужилац, уз обавезно присуство т</w:t>
      </w:r>
      <w:r>
        <w:rPr>
          <w:rFonts w:ascii="Times New Roman" w:hAnsi="Times New Roman" w:cs="Times New Roman"/>
          <w:sz w:val="24"/>
          <w:szCs w:val="24"/>
          <w:lang w:val="ru-RU"/>
        </w:rPr>
        <w:t>ужиоца или заменика кога он одреди, односно овлашћеног радника Тужилаштва.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Подносиоцу ће бити омогућен увид, на начин којим се не ремети редован рад Тужилаштва.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9) </w:t>
      </w:r>
      <w:r>
        <w:rPr>
          <w:rFonts w:ascii="Times New Roman" w:hAnsi="Times New Roman" w:cs="Times New Roman"/>
          <w:sz w:val="24"/>
          <w:szCs w:val="24"/>
          <w:lang w:val="ru-RU"/>
        </w:rPr>
        <w:t>Подносилац захтева коме је одобрен приступ информацији, сноси нужне  трошкове фотокопира</w:t>
      </w:r>
      <w:r>
        <w:rPr>
          <w:rFonts w:ascii="Times New Roman" w:hAnsi="Times New Roman" w:cs="Times New Roman"/>
          <w:sz w:val="24"/>
          <w:szCs w:val="24"/>
          <w:lang w:val="ru-RU"/>
        </w:rPr>
        <w:t>ња односно трошкове достављања у складу са трошковником који прописује Влада Републике Србије.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Увид у тражени документ се не наплаћује.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Фотографисање докумената није дозвољено.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10) </w:t>
      </w:r>
      <w:r>
        <w:rPr>
          <w:rFonts w:ascii="Times New Roman" w:hAnsi="Times New Roman" w:cs="Times New Roman"/>
          <w:sz w:val="24"/>
          <w:szCs w:val="24"/>
          <w:lang w:val="ru-RU"/>
        </w:rPr>
        <w:t>Када Тужилаштво не поседује тражену информацију, проследиће захтев Повер</w:t>
      </w:r>
      <w:r>
        <w:rPr>
          <w:rFonts w:ascii="Times New Roman" w:hAnsi="Times New Roman" w:cs="Times New Roman"/>
          <w:sz w:val="24"/>
          <w:szCs w:val="24"/>
          <w:lang w:val="ru-RU"/>
        </w:rPr>
        <w:t>енику и обавестити тражиоца о томе у чијем се поседу, према његовом знању, тражени документ налази.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11) </w:t>
      </w:r>
      <w:r>
        <w:rPr>
          <w:rFonts w:ascii="Times New Roman" w:hAnsi="Times New Roman" w:cs="Times New Roman"/>
          <w:sz w:val="24"/>
          <w:szCs w:val="24"/>
          <w:lang w:val="ru-RU"/>
        </w:rPr>
        <w:t>О примљеним захтевима за издавање информација од јавног значаја тужилаштво  води посебну евиденцију.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Тужилаштво у смислу члана 39. Закона о слободном </w:t>
      </w:r>
      <w:r>
        <w:rPr>
          <w:rFonts w:ascii="Times New Roman" w:hAnsi="Times New Roman" w:cs="Times New Roman"/>
          <w:sz w:val="24"/>
          <w:szCs w:val="24"/>
          <w:lang w:val="ru-RU"/>
        </w:rPr>
        <w:t>приступу јавним информацијама, израђује годишњи информатор о раду.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ru-RU"/>
        </w:rPr>
        <w:t>В.Ф. ЈАВНОГ ТУЖИОЦА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ru-RU"/>
        </w:rPr>
        <w:t>Растко Живадиновић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ПРИЛОГ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Образац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захтева за приступ информацији од јавног значаја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сновно јавно тужилаштво у Пријепољу, улица Валтерова 171, Пријепоље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 А Х Т Е В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приступ информацији од јавног значаја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основу члана 15. став 1. Закона о слободном приступу информацијама од јавног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значаја ( “Службени гласник Републике Србије”, број 120/2004, 54/2007, 104/2009, 36/10), од горе наведеног органа, захтевам:*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обавештење да ли поседује тражену информацију;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увид у документ који садржи тражену информацију;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копију документа који сад</w:t>
      </w:r>
      <w:r>
        <w:rPr>
          <w:rFonts w:ascii="Times New Roman" w:hAnsi="Times New Roman" w:cs="Times New Roman"/>
          <w:sz w:val="24"/>
          <w:szCs w:val="24"/>
          <w:lang w:val="ru-RU"/>
        </w:rPr>
        <w:t>ржи тражену информацију;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достављање копије документа који садржи тражену информацију:**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поштом;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електронском поштом;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факсом;</w:t>
      </w:r>
    </w:p>
    <w:p w:rsidR="00000000" w:rsidRDefault="00B75D27" w:rsidP="00A92F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други начин:***___________________________________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Овај захтев се односи на следеће информације: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</w:t>
      </w: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навести што прецизнији опис информације која се тражи као </w:t>
      </w:r>
      <w:r>
        <w:rPr>
          <w:rFonts w:ascii="Times New Roman" w:hAnsi="Times New Roman" w:cs="Times New Roman"/>
          <w:sz w:val="24"/>
          <w:szCs w:val="24"/>
          <w:lang w:val="ru-RU"/>
        </w:rPr>
        <w:t>и друге податке који олакшавају проналажење тражене информације)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Тражилац информације/Име и презиме/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У______________________,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Адреса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Дана_________20___године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Потпис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lang/>
        </w:rPr>
      </w:pP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</w:t>
      </w:r>
      <w:r>
        <w:rPr>
          <w:rFonts w:ascii="Times New Roman" w:hAnsi="Times New Roman" w:cs="Times New Roman"/>
          <w:sz w:val="24"/>
          <w:szCs w:val="24"/>
          <w:lang/>
        </w:rPr>
        <w:t>_______________________________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ru-RU"/>
        </w:rPr>
        <w:t>У кућици означити која законска права на приступ информацијама желите да остварите.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** </w:t>
      </w:r>
      <w:r>
        <w:rPr>
          <w:rFonts w:ascii="Times New Roman" w:hAnsi="Times New Roman" w:cs="Times New Roman"/>
          <w:sz w:val="24"/>
          <w:szCs w:val="24"/>
          <w:lang w:val="ru-RU"/>
        </w:rPr>
        <w:t>У кућици означити начин достављања копије документа.</w:t>
      </w:r>
    </w:p>
    <w:p w:rsidR="00000000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*** </w:t>
      </w:r>
      <w:r>
        <w:rPr>
          <w:rFonts w:ascii="Times New Roman" w:hAnsi="Times New Roman" w:cs="Times New Roman"/>
          <w:sz w:val="24"/>
          <w:szCs w:val="24"/>
          <w:lang w:val="ru-RU"/>
        </w:rPr>
        <w:t>Када захтевате други начин достављања обавезно уписати који на</w:t>
      </w:r>
      <w:r>
        <w:rPr>
          <w:rFonts w:ascii="Times New Roman" w:hAnsi="Times New Roman" w:cs="Times New Roman"/>
          <w:sz w:val="24"/>
          <w:szCs w:val="24"/>
          <w:lang w:val="ru-RU"/>
        </w:rPr>
        <w:t>чи</w:t>
      </w:r>
    </w:p>
    <w:p w:rsidR="00B75D27" w:rsidRDefault="00B75D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sectPr w:rsidR="00B75D2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96E1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01F2"/>
    <w:rsid w:val="00A92F0E"/>
    <w:rsid w:val="00B75D27"/>
    <w:rsid w:val="00D9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kg.ap.jt.rs/s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4396</Words>
  <Characters>25062</Characters>
  <Application>Microsoft Office Word</Application>
  <DocSecurity>0</DocSecurity>
  <Lines>208</Lines>
  <Paragraphs>58</Paragraphs>
  <ScaleCrop>false</ScaleCrop>
  <Company/>
  <LinksUpToDate>false</LinksUpToDate>
  <CharactersWithSpaces>29400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2019-07-12T07:08:00Z</dcterms:created>
  <dcterms:modified xsi:type="dcterms:W3CDTF">2019-07-12T07:08:00Z</dcterms:modified>
</cp:coreProperties>
</file>